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F172" w14:textId="4FB63A3A" w:rsidR="00301124" w:rsidRDefault="00D23E02" w:rsidP="00754FD1">
      <w:pPr>
        <w:pStyle w:val="Title"/>
        <w:keepLines/>
        <w:widowControl/>
      </w:pPr>
      <w:r w:rsidRPr="00AB56BB">
        <w:t>Virginia Regulatory Assessment Template</w:t>
      </w:r>
    </w:p>
    <w:p w14:paraId="1C462129" w14:textId="77777777" w:rsidR="000460F7" w:rsidRPr="008C5672" w:rsidRDefault="000460F7" w:rsidP="000460F7">
      <w:pPr>
        <w:pStyle w:val="Title"/>
        <w:keepLines/>
        <w:widowControl/>
        <w:jc w:val="left"/>
        <w:rPr>
          <w:sz w:val="24"/>
          <w:szCs w:val="24"/>
        </w:rPr>
      </w:pPr>
    </w:p>
    <w:p w14:paraId="2DACFD39" w14:textId="77777777" w:rsidR="005A69A8" w:rsidRDefault="000460F7" w:rsidP="000D6A65">
      <w:pPr>
        <w:pStyle w:val="Title"/>
        <w:keepLines/>
        <w:widowControl/>
        <w:ind w:left="180"/>
        <w:jc w:val="left"/>
        <w:rPr>
          <w:sz w:val="22"/>
          <w:szCs w:val="22"/>
        </w:rPr>
      </w:pPr>
      <w:r w:rsidRPr="000460F7">
        <w:rPr>
          <w:b/>
          <w:bCs/>
          <w:sz w:val="22"/>
          <w:szCs w:val="22"/>
        </w:rPr>
        <w:t>Instructions:</w:t>
      </w:r>
    </w:p>
    <w:p w14:paraId="35B8A83E" w14:textId="77777777" w:rsidR="005A69A8" w:rsidRDefault="000460F7" w:rsidP="005A69A8">
      <w:pPr>
        <w:pStyle w:val="Title"/>
        <w:keepLines/>
        <w:widowControl/>
        <w:numPr>
          <w:ilvl w:val="0"/>
          <w:numId w:val="2"/>
        </w:numPr>
        <w:jc w:val="left"/>
        <w:rPr>
          <w:sz w:val="22"/>
          <w:szCs w:val="22"/>
        </w:rPr>
      </w:pPr>
      <w:r w:rsidRPr="000460F7">
        <w:rPr>
          <w:sz w:val="22"/>
          <w:szCs w:val="22"/>
        </w:rPr>
        <w:t xml:space="preserve">Select one (1) “performance area” or outcome from the following set to evaluate how </w:t>
      </w:r>
      <w:r w:rsidRPr="000460F7">
        <w:rPr>
          <w:sz w:val="22"/>
          <w:szCs w:val="22"/>
          <w:u w:val="single"/>
        </w:rPr>
        <w:t>existing</w:t>
      </w:r>
      <w:r w:rsidRPr="000460F7">
        <w:rPr>
          <w:sz w:val="22"/>
          <w:szCs w:val="22"/>
        </w:rPr>
        <w:t xml:space="preserve"> regulatory mechanisms in Virginia support (incentivize) </w:t>
      </w:r>
      <w:r w:rsidR="00BF11FB">
        <w:rPr>
          <w:sz w:val="22"/>
          <w:szCs w:val="22"/>
        </w:rPr>
        <w:t xml:space="preserve">the </w:t>
      </w:r>
      <w:r w:rsidRPr="000460F7">
        <w:rPr>
          <w:sz w:val="22"/>
          <w:szCs w:val="22"/>
        </w:rPr>
        <w:t xml:space="preserve">achievement of that outcome or </w:t>
      </w:r>
      <w:r w:rsidR="00BF11FB">
        <w:rPr>
          <w:sz w:val="22"/>
          <w:szCs w:val="22"/>
        </w:rPr>
        <w:t>disincentivize</w:t>
      </w:r>
      <w:r w:rsidRPr="000460F7">
        <w:rPr>
          <w:sz w:val="22"/>
          <w:szCs w:val="22"/>
        </w:rPr>
        <w:t xml:space="preserve"> </w:t>
      </w:r>
      <w:r w:rsidR="00BF11FB">
        <w:rPr>
          <w:sz w:val="22"/>
          <w:szCs w:val="22"/>
        </w:rPr>
        <w:t xml:space="preserve">the </w:t>
      </w:r>
      <w:r w:rsidRPr="000460F7">
        <w:rPr>
          <w:sz w:val="22"/>
          <w:szCs w:val="22"/>
        </w:rPr>
        <w:t>achievement of the outcome. Consider this question for each regulatory mechanism identified in the template, and for the overall performance of Virginia’s utility regulatory structure to support (or hinder) that outcome (performance area).</w:t>
      </w:r>
    </w:p>
    <w:p w14:paraId="48AFCD76" w14:textId="616712E8" w:rsidR="006819D3" w:rsidRPr="005A69A8" w:rsidRDefault="000460F7" w:rsidP="005A69A8">
      <w:pPr>
        <w:pStyle w:val="Title"/>
        <w:keepLines/>
        <w:widowControl/>
        <w:numPr>
          <w:ilvl w:val="0"/>
          <w:numId w:val="2"/>
        </w:numPr>
        <w:jc w:val="left"/>
        <w:rPr>
          <w:sz w:val="22"/>
          <w:szCs w:val="22"/>
        </w:rPr>
      </w:pPr>
      <w:r w:rsidRPr="005A69A8">
        <w:rPr>
          <w:sz w:val="22"/>
          <w:szCs w:val="22"/>
        </w:rPr>
        <w:t>Each stakeholder should complete worksheet</w:t>
      </w:r>
      <w:r w:rsidR="00547D7E" w:rsidRPr="005A69A8">
        <w:rPr>
          <w:sz w:val="22"/>
          <w:szCs w:val="22"/>
        </w:rPr>
        <w:t>s</w:t>
      </w:r>
      <w:r w:rsidRPr="005A69A8">
        <w:rPr>
          <w:sz w:val="22"/>
          <w:szCs w:val="22"/>
        </w:rPr>
        <w:t xml:space="preserve"> for</w:t>
      </w:r>
      <w:r w:rsidR="00DA1F07">
        <w:rPr>
          <w:sz w:val="22"/>
          <w:szCs w:val="22"/>
        </w:rPr>
        <w:t xml:space="preserve"> </w:t>
      </w:r>
      <w:r w:rsidR="00DA1F07">
        <w:rPr>
          <w:sz w:val="22"/>
          <w:szCs w:val="22"/>
          <w:highlight w:val="yellow"/>
        </w:rPr>
        <w:t>at least</w:t>
      </w:r>
      <w:r w:rsidRPr="00DA1F07">
        <w:rPr>
          <w:sz w:val="22"/>
          <w:szCs w:val="22"/>
          <w:highlight w:val="yellow"/>
        </w:rPr>
        <w:t xml:space="preserve"> two performance areas</w:t>
      </w:r>
      <w:r w:rsidRPr="005A69A8">
        <w:rPr>
          <w:sz w:val="22"/>
          <w:szCs w:val="22"/>
        </w:rPr>
        <w:t xml:space="preserve"> of their choosing. Additional (more than two) performance areas can be evaluated in additional worksheets, at your discretion.</w:t>
      </w:r>
    </w:p>
    <w:p w14:paraId="7D6E01E6" w14:textId="77777777" w:rsidR="00231CD8" w:rsidRDefault="00231CD8" w:rsidP="000D6A65">
      <w:pPr>
        <w:pStyle w:val="Title"/>
        <w:keepLines/>
        <w:widowControl/>
        <w:spacing w:before="120"/>
        <w:ind w:left="180"/>
        <w:jc w:val="left"/>
        <w:rPr>
          <w:sz w:val="22"/>
          <w:szCs w:val="22"/>
        </w:rPr>
      </w:pPr>
    </w:p>
    <w:p w14:paraId="3DB96527" w14:textId="560A3C80" w:rsidR="00E70063" w:rsidRPr="00E70063" w:rsidRDefault="003D5C0B" w:rsidP="00E70063">
      <w:pPr>
        <w:pStyle w:val="Title"/>
        <w:keepLines/>
        <w:spacing w:before="120"/>
        <w:ind w:left="180"/>
        <w:jc w:val="left"/>
        <w:rPr>
          <w:i/>
          <w:iCs/>
          <w:sz w:val="22"/>
          <w:szCs w:val="22"/>
        </w:rPr>
      </w:pPr>
      <w:r w:rsidRPr="003D5C0B">
        <w:rPr>
          <w:b/>
          <w:bCs/>
          <w:sz w:val="22"/>
          <w:szCs w:val="22"/>
        </w:rPr>
        <w:t xml:space="preserve">Reference </w:t>
      </w:r>
      <w:r w:rsidR="00A64864" w:rsidRPr="003D5C0B">
        <w:rPr>
          <w:b/>
          <w:bCs/>
          <w:sz w:val="22"/>
          <w:szCs w:val="22"/>
        </w:rPr>
        <w:t>Key:</w:t>
      </w:r>
      <w:r w:rsidR="00A64864">
        <w:rPr>
          <w:sz w:val="22"/>
          <w:szCs w:val="22"/>
        </w:rPr>
        <w:t xml:space="preserve"> Performance Areas from </w:t>
      </w:r>
      <w:r w:rsidRPr="003D5C0B">
        <w:rPr>
          <w:i/>
          <w:iCs/>
          <w:sz w:val="22"/>
          <w:szCs w:val="22"/>
        </w:rPr>
        <w:t>House Joint Resolution No. 30 / Senate Joint Resolution No. 47</w:t>
      </w:r>
    </w:p>
    <w:tbl>
      <w:tblPr>
        <w:tblStyle w:val="TableGrid"/>
        <w:tblW w:w="0" w:type="auto"/>
        <w:tblInd w:w="198" w:type="dxa"/>
        <w:tblLook w:val="04A0" w:firstRow="1" w:lastRow="0" w:firstColumn="1" w:lastColumn="0" w:noHBand="0" w:noVBand="1"/>
      </w:tblPr>
      <w:tblGrid>
        <w:gridCol w:w="6331"/>
        <w:gridCol w:w="6629"/>
      </w:tblGrid>
      <w:tr w:rsidR="003E2469" w14:paraId="4A3B518E" w14:textId="77777777" w:rsidTr="00E70063">
        <w:tc>
          <w:tcPr>
            <w:tcW w:w="6331" w:type="dxa"/>
          </w:tcPr>
          <w:p w14:paraId="59E45CE4" w14:textId="62A3A2BF" w:rsidR="003E2469" w:rsidRPr="00102191" w:rsidRDefault="00BA734C" w:rsidP="000460F7">
            <w:pPr>
              <w:pStyle w:val="Title"/>
              <w:keepLines/>
              <w:widowControl/>
              <w:spacing w:before="120"/>
              <w:ind w:left="0"/>
              <w:jc w:val="left"/>
              <w:rPr>
                <w:sz w:val="20"/>
                <w:szCs w:val="20"/>
              </w:rPr>
            </w:pPr>
            <w:r w:rsidRPr="00102191">
              <w:rPr>
                <w:sz w:val="20"/>
                <w:szCs w:val="20"/>
              </w:rPr>
              <w:t>Reliability and resiliency</w:t>
            </w:r>
          </w:p>
        </w:tc>
        <w:tc>
          <w:tcPr>
            <w:tcW w:w="6629" w:type="dxa"/>
          </w:tcPr>
          <w:p w14:paraId="28CC8C9E" w14:textId="13B71A07" w:rsidR="003E2469" w:rsidRPr="00102191" w:rsidRDefault="00171D14" w:rsidP="000460F7">
            <w:pPr>
              <w:pStyle w:val="Title"/>
              <w:keepLines/>
              <w:widowControl/>
              <w:spacing w:before="120"/>
              <w:ind w:left="0"/>
              <w:jc w:val="left"/>
              <w:rPr>
                <w:sz w:val="20"/>
                <w:szCs w:val="20"/>
              </w:rPr>
            </w:pPr>
            <w:r w:rsidRPr="00102191">
              <w:rPr>
                <w:sz w:val="20"/>
                <w:szCs w:val="20"/>
              </w:rPr>
              <w:t>Affordability for customers</w:t>
            </w:r>
          </w:p>
        </w:tc>
      </w:tr>
      <w:tr w:rsidR="003E2469" w14:paraId="4BCAE3F0" w14:textId="77777777" w:rsidTr="00E70063">
        <w:tc>
          <w:tcPr>
            <w:tcW w:w="6331" w:type="dxa"/>
          </w:tcPr>
          <w:p w14:paraId="60B48B5A" w14:textId="3D3BDC9C" w:rsidR="003E2469" w:rsidRPr="00102191" w:rsidRDefault="00BA734C" w:rsidP="000460F7">
            <w:pPr>
              <w:pStyle w:val="Title"/>
              <w:keepLines/>
              <w:widowControl/>
              <w:spacing w:before="120"/>
              <w:ind w:left="0"/>
              <w:jc w:val="left"/>
              <w:rPr>
                <w:sz w:val="20"/>
                <w:szCs w:val="20"/>
              </w:rPr>
            </w:pPr>
            <w:r w:rsidRPr="00102191">
              <w:rPr>
                <w:sz w:val="20"/>
                <w:szCs w:val="20"/>
              </w:rPr>
              <w:t>Emergency response and safety</w:t>
            </w:r>
          </w:p>
        </w:tc>
        <w:tc>
          <w:tcPr>
            <w:tcW w:w="6629" w:type="dxa"/>
          </w:tcPr>
          <w:p w14:paraId="0952E293" w14:textId="0A828C69" w:rsidR="003E2469" w:rsidRPr="00102191" w:rsidRDefault="00171D14" w:rsidP="000460F7">
            <w:pPr>
              <w:pStyle w:val="Title"/>
              <w:keepLines/>
              <w:widowControl/>
              <w:spacing w:before="120"/>
              <w:ind w:left="0"/>
              <w:jc w:val="left"/>
              <w:rPr>
                <w:sz w:val="20"/>
                <w:szCs w:val="20"/>
              </w:rPr>
            </w:pPr>
            <w:r w:rsidRPr="00102191">
              <w:rPr>
                <w:sz w:val="20"/>
                <w:szCs w:val="20"/>
              </w:rPr>
              <w:t>Cost-efficient utility investments and operations</w:t>
            </w:r>
          </w:p>
        </w:tc>
      </w:tr>
      <w:tr w:rsidR="003E2469" w14:paraId="5FD124C0" w14:textId="77777777" w:rsidTr="00E70063">
        <w:tc>
          <w:tcPr>
            <w:tcW w:w="6331" w:type="dxa"/>
          </w:tcPr>
          <w:p w14:paraId="4197536A" w14:textId="22D002C0" w:rsidR="003E2469" w:rsidRPr="00102191" w:rsidRDefault="009B706B" w:rsidP="000460F7">
            <w:pPr>
              <w:pStyle w:val="Title"/>
              <w:keepLines/>
              <w:widowControl/>
              <w:spacing w:before="120"/>
              <w:ind w:left="0"/>
              <w:jc w:val="left"/>
              <w:rPr>
                <w:sz w:val="20"/>
                <w:szCs w:val="20"/>
              </w:rPr>
            </w:pPr>
            <w:r w:rsidRPr="00102191">
              <w:rPr>
                <w:sz w:val="20"/>
                <w:szCs w:val="20"/>
              </w:rPr>
              <w:t>Peak demand reductions</w:t>
            </w:r>
          </w:p>
        </w:tc>
        <w:tc>
          <w:tcPr>
            <w:tcW w:w="6629" w:type="dxa"/>
          </w:tcPr>
          <w:p w14:paraId="6567F28E" w14:textId="7D919B16" w:rsidR="003E2469" w:rsidRPr="00102191" w:rsidRDefault="00171D14" w:rsidP="000460F7">
            <w:pPr>
              <w:pStyle w:val="Title"/>
              <w:keepLines/>
              <w:widowControl/>
              <w:spacing w:before="120"/>
              <w:ind w:left="0"/>
              <w:jc w:val="left"/>
              <w:rPr>
                <w:sz w:val="20"/>
                <w:szCs w:val="20"/>
              </w:rPr>
            </w:pPr>
            <w:r w:rsidRPr="00102191">
              <w:rPr>
                <w:sz w:val="20"/>
                <w:szCs w:val="20"/>
              </w:rPr>
              <w:t>Maximization of available federal funding</w:t>
            </w:r>
          </w:p>
        </w:tc>
      </w:tr>
      <w:tr w:rsidR="003E2469" w14:paraId="67C88156" w14:textId="77777777" w:rsidTr="00E70063">
        <w:tc>
          <w:tcPr>
            <w:tcW w:w="6331" w:type="dxa"/>
          </w:tcPr>
          <w:p w14:paraId="757BBA8E" w14:textId="3EF42E64" w:rsidR="003E2469" w:rsidRPr="00102191" w:rsidRDefault="009B706B" w:rsidP="000460F7">
            <w:pPr>
              <w:pStyle w:val="Title"/>
              <w:keepLines/>
              <w:widowControl/>
              <w:spacing w:before="120"/>
              <w:ind w:left="0"/>
              <w:jc w:val="left"/>
              <w:rPr>
                <w:sz w:val="20"/>
                <w:szCs w:val="20"/>
              </w:rPr>
            </w:pPr>
            <w:r w:rsidRPr="00102191">
              <w:rPr>
                <w:sz w:val="20"/>
                <w:szCs w:val="20"/>
              </w:rPr>
              <w:t>Cyber and physical security of the grid</w:t>
            </w:r>
          </w:p>
        </w:tc>
        <w:tc>
          <w:tcPr>
            <w:tcW w:w="6629" w:type="dxa"/>
          </w:tcPr>
          <w:p w14:paraId="26B0CD80" w14:textId="56C27143" w:rsidR="003E2469" w:rsidRPr="00102191" w:rsidRDefault="00171D14" w:rsidP="000460F7">
            <w:pPr>
              <w:pStyle w:val="Title"/>
              <w:keepLines/>
              <w:widowControl/>
              <w:spacing w:before="120"/>
              <w:ind w:left="0"/>
              <w:jc w:val="left"/>
              <w:rPr>
                <w:sz w:val="20"/>
                <w:szCs w:val="20"/>
              </w:rPr>
            </w:pPr>
            <w:r w:rsidRPr="00102191">
              <w:rPr>
                <w:sz w:val="20"/>
                <w:szCs w:val="20"/>
              </w:rPr>
              <w:t>Savings maximization from energy efficiency and exceedance of statutorily required savings levels</w:t>
            </w:r>
          </w:p>
        </w:tc>
      </w:tr>
      <w:tr w:rsidR="003E2469" w14:paraId="30D8BA4D" w14:textId="77777777" w:rsidTr="00E70063">
        <w:tc>
          <w:tcPr>
            <w:tcW w:w="6331" w:type="dxa"/>
          </w:tcPr>
          <w:p w14:paraId="1216B848" w14:textId="3D3AEBF6" w:rsidR="003E2469" w:rsidRPr="00102191" w:rsidRDefault="009B706B" w:rsidP="000460F7">
            <w:pPr>
              <w:pStyle w:val="Title"/>
              <w:keepLines/>
              <w:widowControl/>
              <w:spacing w:before="120"/>
              <w:ind w:left="0"/>
              <w:jc w:val="left"/>
              <w:rPr>
                <w:sz w:val="20"/>
                <w:szCs w:val="20"/>
              </w:rPr>
            </w:pPr>
            <w:r w:rsidRPr="00102191">
              <w:rPr>
                <w:sz w:val="20"/>
                <w:szCs w:val="20"/>
              </w:rPr>
              <w:t>Annual and monthly generation and resource needs in addition to hourly generation and resource needs on the 10 hottest and coldest days of the year</w:t>
            </w:r>
          </w:p>
        </w:tc>
        <w:tc>
          <w:tcPr>
            <w:tcW w:w="6629" w:type="dxa"/>
          </w:tcPr>
          <w:p w14:paraId="0CA85530" w14:textId="586C15CE" w:rsidR="003E2469" w:rsidRPr="00102191" w:rsidRDefault="00171D14" w:rsidP="000460F7">
            <w:pPr>
              <w:pStyle w:val="Title"/>
              <w:keepLines/>
              <w:widowControl/>
              <w:spacing w:before="120"/>
              <w:ind w:left="0"/>
              <w:jc w:val="left"/>
              <w:rPr>
                <w:sz w:val="20"/>
                <w:szCs w:val="20"/>
              </w:rPr>
            </w:pPr>
            <w:r w:rsidRPr="00102191">
              <w:rPr>
                <w:sz w:val="20"/>
                <w:szCs w:val="20"/>
              </w:rPr>
              <w:t>DER integration and speed of interconnection</w:t>
            </w:r>
          </w:p>
        </w:tc>
      </w:tr>
      <w:tr w:rsidR="009B706B" w14:paraId="580CEDB2" w14:textId="77777777" w:rsidTr="00E70063">
        <w:tc>
          <w:tcPr>
            <w:tcW w:w="6331" w:type="dxa"/>
          </w:tcPr>
          <w:p w14:paraId="002D6301" w14:textId="0BC2C42B" w:rsidR="009B706B" w:rsidRPr="00102191" w:rsidRDefault="00171D14" w:rsidP="000460F7">
            <w:pPr>
              <w:pStyle w:val="Title"/>
              <w:keepLines/>
              <w:widowControl/>
              <w:spacing w:before="120"/>
              <w:ind w:left="0"/>
              <w:jc w:val="left"/>
              <w:rPr>
                <w:sz w:val="20"/>
                <w:szCs w:val="20"/>
              </w:rPr>
            </w:pPr>
            <w:r w:rsidRPr="00102191">
              <w:rPr>
                <w:sz w:val="20"/>
                <w:szCs w:val="20"/>
              </w:rPr>
              <w:t>Customer service</w:t>
            </w:r>
          </w:p>
        </w:tc>
        <w:tc>
          <w:tcPr>
            <w:tcW w:w="6629" w:type="dxa"/>
          </w:tcPr>
          <w:p w14:paraId="683BC54C" w14:textId="55E424D5" w:rsidR="009B706B" w:rsidRPr="00102191" w:rsidRDefault="00171D14" w:rsidP="000460F7">
            <w:pPr>
              <w:pStyle w:val="Title"/>
              <w:keepLines/>
              <w:widowControl/>
              <w:spacing w:before="120"/>
              <w:ind w:left="0"/>
              <w:jc w:val="left"/>
              <w:rPr>
                <w:sz w:val="20"/>
                <w:szCs w:val="20"/>
              </w:rPr>
            </w:pPr>
            <w:r w:rsidRPr="00102191">
              <w:rPr>
                <w:sz w:val="20"/>
                <w:szCs w:val="20"/>
              </w:rPr>
              <w:t>Beneficial electrification</w:t>
            </w:r>
          </w:p>
        </w:tc>
      </w:tr>
      <w:tr w:rsidR="003E2469" w14:paraId="3DB159BE" w14:textId="77777777" w:rsidTr="00E70063">
        <w:tc>
          <w:tcPr>
            <w:tcW w:w="6331" w:type="dxa"/>
          </w:tcPr>
          <w:p w14:paraId="056FE7BB" w14:textId="5BEA5567" w:rsidR="003E2469" w:rsidRPr="00102191" w:rsidRDefault="00171D14" w:rsidP="000460F7">
            <w:pPr>
              <w:pStyle w:val="Title"/>
              <w:keepLines/>
              <w:widowControl/>
              <w:spacing w:before="120"/>
              <w:ind w:left="0"/>
              <w:jc w:val="left"/>
              <w:rPr>
                <w:sz w:val="20"/>
                <w:szCs w:val="20"/>
              </w:rPr>
            </w:pPr>
            <w:r w:rsidRPr="00102191">
              <w:rPr>
                <w:sz w:val="20"/>
                <w:szCs w:val="20"/>
              </w:rPr>
              <w:t>Environmental justice and equity</w:t>
            </w:r>
          </w:p>
        </w:tc>
        <w:tc>
          <w:tcPr>
            <w:tcW w:w="6629" w:type="dxa"/>
          </w:tcPr>
          <w:p w14:paraId="3119968D" w14:textId="6FECC9D7" w:rsidR="003E2469" w:rsidRPr="00102191" w:rsidRDefault="00171D14" w:rsidP="000460F7">
            <w:pPr>
              <w:pStyle w:val="Title"/>
              <w:keepLines/>
              <w:widowControl/>
              <w:spacing w:before="120"/>
              <w:ind w:left="0"/>
              <w:jc w:val="left"/>
              <w:rPr>
                <w:sz w:val="20"/>
                <w:szCs w:val="20"/>
              </w:rPr>
            </w:pPr>
            <w:r w:rsidRPr="00102191">
              <w:rPr>
                <w:sz w:val="20"/>
                <w:szCs w:val="20"/>
              </w:rPr>
              <w:t>Electricity decarbonization</w:t>
            </w:r>
          </w:p>
        </w:tc>
      </w:tr>
    </w:tbl>
    <w:p w14:paraId="78562669" w14:textId="30013831" w:rsidR="00231CD8" w:rsidRPr="000460F7" w:rsidRDefault="00231CD8" w:rsidP="000460F7">
      <w:pPr>
        <w:pStyle w:val="Title"/>
        <w:keepLines/>
        <w:widowControl/>
        <w:spacing w:before="120"/>
        <w:ind w:left="720"/>
        <w:jc w:val="left"/>
        <w:rPr>
          <w:sz w:val="22"/>
          <w:szCs w:val="22"/>
        </w:rPr>
      </w:pPr>
    </w:p>
    <w:p w14:paraId="2B810E4E" w14:textId="51B45664" w:rsidR="000460F7" w:rsidRPr="00E70063" w:rsidRDefault="00E70063" w:rsidP="00E70063">
      <w:pPr>
        <w:pStyle w:val="Title"/>
        <w:keepLines/>
        <w:spacing w:before="120"/>
        <w:ind w:left="180"/>
        <w:jc w:val="left"/>
        <w:rPr>
          <w:i/>
          <w:iCs/>
          <w:sz w:val="22"/>
          <w:szCs w:val="22"/>
        </w:rPr>
      </w:pPr>
      <w:r>
        <w:rPr>
          <w:b/>
          <w:bCs/>
          <w:sz w:val="22"/>
          <w:szCs w:val="22"/>
        </w:rPr>
        <w:t>Regulatory 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17"/>
        <w:gridCol w:w="33"/>
        <w:gridCol w:w="938"/>
        <w:gridCol w:w="3296"/>
        <w:gridCol w:w="4534"/>
      </w:tblGrid>
      <w:tr w:rsidR="006819D3" w:rsidRPr="006819D3" w14:paraId="00171B1A" w14:textId="77777777" w:rsidTr="2539CAE0">
        <w:trPr>
          <w:trHeight w:val="563"/>
        </w:trPr>
        <w:tc>
          <w:tcPr>
            <w:tcW w:w="1945" w:type="dxa"/>
            <w:shd w:val="clear" w:color="auto" w:fill="3B7E32"/>
            <w:vAlign w:val="center"/>
          </w:tcPr>
          <w:p w14:paraId="0672B022" w14:textId="60CBF772" w:rsidR="006819D3" w:rsidRPr="006A3122" w:rsidRDefault="006819D3" w:rsidP="006A3122">
            <w:pPr>
              <w:pStyle w:val="TableParagraph"/>
              <w:keepLines/>
              <w:widowControl/>
              <w:spacing w:line="232" w:lineRule="auto"/>
              <w:ind w:left="110" w:right="203"/>
              <w:jc w:val="center"/>
              <w:rPr>
                <w:b/>
                <w:sz w:val="24"/>
                <w:szCs w:val="24"/>
              </w:rPr>
            </w:pPr>
            <w:r w:rsidRPr="00244057">
              <w:rPr>
                <w:b/>
                <w:color w:val="FFFFFF"/>
                <w:spacing w:val="-2"/>
                <w:sz w:val="24"/>
                <w:szCs w:val="24"/>
              </w:rPr>
              <w:t>Outcome</w:t>
            </w:r>
          </w:p>
        </w:tc>
        <w:tc>
          <w:tcPr>
            <w:tcW w:w="2250" w:type="dxa"/>
            <w:gridSpan w:val="2"/>
            <w:shd w:val="clear" w:color="auto" w:fill="auto"/>
          </w:tcPr>
          <w:p w14:paraId="78DBB2FC" w14:textId="1113E4C0" w:rsidR="006819D3" w:rsidRPr="001D7C93" w:rsidRDefault="005947D3" w:rsidP="00754FD1">
            <w:pPr>
              <w:pStyle w:val="TableParagraph"/>
              <w:keepLines/>
              <w:widowControl/>
              <w:spacing w:line="223" w:lineRule="exact"/>
              <w:ind w:left="110"/>
              <w:rPr>
                <w:bCs/>
                <w:i/>
                <w:iCs/>
                <w:sz w:val="18"/>
                <w:szCs w:val="20"/>
              </w:rPr>
            </w:pPr>
            <w:r w:rsidRPr="001D7C93">
              <w:rPr>
                <w:bCs/>
                <w:sz w:val="18"/>
                <w:szCs w:val="20"/>
              </w:rPr>
              <w:t xml:space="preserve">What regulatory </w:t>
            </w:r>
            <w:r w:rsidR="001D7C93" w:rsidRPr="001D7C93">
              <w:rPr>
                <w:bCs/>
                <w:i/>
                <w:iCs/>
                <w:sz w:val="18"/>
                <w:szCs w:val="20"/>
              </w:rPr>
              <w:t>outcome</w:t>
            </w:r>
            <w:r w:rsidR="0079634D">
              <w:rPr>
                <w:bCs/>
                <w:i/>
                <w:iCs/>
                <w:sz w:val="18"/>
                <w:szCs w:val="20"/>
              </w:rPr>
              <w:t xml:space="preserve"> </w:t>
            </w:r>
            <w:r w:rsidR="0079634D">
              <w:rPr>
                <w:bCs/>
                <w:sz w:val="18"/>
                <w:szCs w:val="20"/>
              </w:rPr>
              <w:t xml:space="preserve">or </w:t>
            </w:r>
            <w:r w:rsidR="0079634D">
              <w:rPr>
                <w:bCs/>
                <w:i/>
                <w:iCs/>
                <w:sz w:val="18"/>
                <w:szCs w:val="20"/>
              </w:rPr>
              <w:t>performance area</w:t>
            </w:r>
            <w:r w:rsidR="001D7C93" w:rsidRPr="001D7C93">
              <w:rPr>
                <w:bCs/>
                <w:i/>
                <w:iCs/>
                <w:sz w:val="18"/>
                <w:szCs w:val="20"/>
              </w:rPr>
              <w:t xml:space="preserve"> </w:t>
            </w:r>
            <w:r w:rsidR="001D7C93" w:rsidRPr="001D7C93">
              <w:rPr>
                <w:bCs/>
                <w:sz w:val="18"/>
                <w:szCs w:val="20"/>
              </w:rPr>
              <w:t>does this assessment consider?</w:t>
            </w:r>
          </w:p>
        </w:tc>
        <w:tc>
          <w:tcPr>
            <w:tcW w:w="8768" w:type="dxa"/>
            <w:gridSpan w:val="3"/>
            <w:shd w:val="clear" w:color="auto" w:fill="auto"/>
          </w:tcPr>
          <w:p w14:paraId="4CCD6E8E" w14:textId="26A3306E" w:rsidR="006819D3" w:rsidRPr="006819D3" w:rsidRDefault="00556B79" w:rsidP="00754FD1">
            <w:pPr>
              <w:pStyle w:val="TableParagraph"/>
              <w:keepLines/>
              <w:widowControl/>
              <w:spacing w:line="223" w:lineRule="exact"/>
              <w:ind w:left="110"/>
              <w:rPr>
                <w:b/>
                <w:sz w:val="18"/>
                <w:szCs w:val="18"/>
              </w:rPr>
            </w:pPr>
            <w:r>
              <w:rPr>
                <w:b/>
                <w:sz w:val="18"/>
                <w:szCs w:val="18"/>
              </w:rPr>
              <w:t xml:space="preserve">Electricity </w:t>
            </w:r>
            <w:r w:rsidR="002315BB">
              <w:rPr>
                <w:b/>
                <w:sz w:val="18"/>
                <w:szCs w:val="18"/>
              </w:rPr>
              <w:t>Decarbonization</w:t>
            </w:r>
          </w:p>
        </w:tc>
      </w:tr>
      <w:tr w:rsidR="00301124" w:rsidRPr="00AB56BB" w14:paraId="24ADA6B9" w14:textId="77777777" w:rsidTr="2539CAE0">
        <w:tc>
          <w:tcPr>
            <w:tcW w:w="12963" w:type="dxa"/>
            <w:gridSpan w:val="6"/>
            <w:shd w:val="clear" w:color="auto" w:fill="3B7E32"/>
          </w:tcPr>
          <w:p w14:paraId="3958F4A1" w14:textId="570D5F43" w:rsidR="00301124" w:rsidRPr="00AB56BB" w:rsidRDefault="00D674FC" w:rsidP="00754FD1">
            <w:pPr>
              <w:pStyle w:val="TableParagraph"/>
              <w:keepLines/>
              <w:widowControl/>
              <w:spacing w:line="223" w:lineRule="exact"/>
              <w:ind w:left="110"/>
              <w:rPr>
                <w:b/>
                <w:sz w:val="18"/>
                <w:szCs w:val="20"/>
              </w:rPr>
            </w:pPr>
            <w:r w:rsidRPr="00AB56BB">
              <w:rPr>
                <w:b/>
                <w:color w:val="FFFFFF"/>
                <w:sz w:val="18"/>
                <w:szCs w:val="20"/>
              </w:rPr>
              <w:t>Do</w:t>
            </w:r>
            <w:r w:rsidRPr="00AB56BB">
              <w:rPr>
                <w:b/>
                <w:color w:val="FFFFFF"/>
                <w:spacing w:val="-9"/>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z w:val="18"/>
                <w:szCs w:val="20"/>
              </w:rPr>
              <w:t>existing</w:t>
            </w:r>
            <w:r w:rsidRPr="00AB56BB">
              <w:rPr>
                <w:b/>
                <w:color w:val="FFFFFF"/>
                <w:spacing w:val="-8"/>
                <w:sz w:val="18"/>
                <w:szCs w:val="20"/>
              </w:rPr>
              <w:t xml:space="preserve"> </w:t>
            </w:r>
            <w:r w:rsidRPr="00AB56BB">
              <w:rPr>
                <w:b/>
                <w:color w:val="FFFFFF"/>
                <w:sz w:val="18"/>
                <w:szCs w:val="20"/>
              </w:rPr>
              <w:t>regulatory</w:t>
            </w:r>
            <w:r w:rsidRPr="00AB56BB">
              <w:rPr>
                <w:b/>
                <w:color w:val="FFFFFF"/>
                <w:spacing w:val="-7"/>
                <w:sz w:val="18"/>
                <w:szCs w:val="20"/>
              </w:rPr>
              <w:t xml:space="preserve"> </w:t>
            </w:r>
            <w:r w:rsidRPr="00AB56BB">
              <w:rPr>
                <w:b/>
                <w:color w:val="FFFFFF"/>
                <w:sz w:val="18"/>
                <w:szCs w:val="20"/>
              </w:rPr>
              <w:t>mechanisms</w:t>
            </w:r>
            <w:r w:rsidRPr="00AB56BB">
              <w:rPr>
                <w:b/>
                <w:color w:val="FFFFFF"/>
                <w:spacing w:val="-8"/>
                <w:sz w:val="18"/>
                <w:szCs w:val="20"/>
              </w:rPr>
              <w:t xml:space="preserve"> </w:t>
            </w:r>
            <w:r w:rsidRPr="00AB56BB">
              <w:rPr>
                <w:b/>
                <w:color w:val="FFFFFF"/>
                <w:sz w:val="18"/>
                <w:szCs w:val="20"/>
              </w:rPr>
              <w:t>and</w:t>
            </w:r>
            <w:r w:rsidRPr="00AB56BB">
              <w:rPr>
                <w:b/>
                <w:color w:val="FFFFFF"/>
                <w:spacing w:val="-3"/>
                <w:sz w:val="18"/>
                <w:szCs w:val="20"/>
              </w:rPr>
              <w:t xml:space="preserve"> </w:t>
            </w:r>
            <w:r w:rsidR="00E97484">
              <w:rPr>
                <w:b/>
                <w:color w:val="FFFFFF"/>
                <w:sz w:val="18"/>
                <w:szCs w:val="20"/>
              </w:rPr>
              <w:t>programs</w:t>
            </w:r>
            <w:r w:rsidRPr="00AB56BB">
              <w:rPr>
                <w:b/>
                <w:color w:val="FFFFFF"/>
                <w:spacing w:val="-1"/>
                <w:sz w:val="18"/>
                <w:szCs w:val="20"/>
              </w:rPr>
              <w:t xml:space="preserve"> </w:t>
            </w:r>
            <w:r w:rsidRPr="00AB56BB">
              <w:rPr>
                <w:b/>
                <w:color w:val="FFFFFF"/>
                <w:sz w:val="18"/>
                <w:szCs w:val="20"/>
              </w:rPr>
              <w:t>sufficiently</w:t>
            </w:r>
            <w:r w:rsidRPr="00AB56BB">
              <w:rPr>
                <w:b/>
                <w:color w:val="FFFFFF"/>
                <w:spacing w:val="-3"/>
                <w:sz w:val="18"/>
                <w:szCs w:val="20"/>
              </w:rPr>
              <w:t xml:space="preserve"> </w:t>
            </w:r>
            <w:r w:rsidRPr="00AB56BB">
              <w:rPr>
                <w:b/>
                <w:color w:val="FFFFFF"/>
                <w:sz w:val="18"/>
                <w:szCs w:val="20"/>
              </w:rPr>
              <w:t>support</w:t>
            </w:r>
            <w:r w:rsidRPr="00AB56BB">
              <w:rPr>
                <w:b/>
                <w:color w:val="FFFFFF"/>
                <w:spacing w:val="-4"/>
                <w:sz w:val="18"/>
                <w:szCs w:val="20"/>
              </w:rPr>
              <w:t xml:space="preserve"> </w:t>
            </w:r>
            <w:r w:rsidRPr="00AB56BB">
              <w:rPr>
                <w:b/>
                <w:color w:val="FFFFFF"/>
                <w:sz w:val="18"/>
                <w:szCs w:val="20"/>
              </w:rPr>
              <w:t>the</w:t>
            </w:r>
            <w:r w:rsidRPr="00AB56BB">
              <w:rPr>
                <w:b/>
                <w:color w:val="FFFFFF"/>
                <w:spacing w:val="-3"/>
                <w:sz w:val="18"/>
                <w:szCs w:val="20"/>
              </w:rPr>
              <w:t xml:space="preserve"> </w:t>
            </w:r>
            <w:r w:rsidRPr="00AB56BB">
              <w:rPr>
                <w:b/>
                <w:color w:val="FFFFFF"/>
                <w:spacing w:val="-2"/>
                <w:sz w:val="18"/>
                <w:szCs w:val="20"/>
              </w:rPr>
              <w:t>outcome?</w:t>
            </w:r>
          </w:p>
        </w:tc>
      </w:tr>
      <w:tr w:rsidR="00301124" w:rsidRPr="00AB56BB" w14:paraId="11E209F4" w14:textId="77777777" w:rsidTr="2539CAE0">
        <w:tc>
          <w:tcPr>
            <w:tcW w:w="1945" w:type="dxa"/>
          </w:tcPr>
          <w:p w14:paraId="34E1BFB4" w14:textId="77777777" w:rsidR="00301124" w:rsidRPr="00AB56BB" w:rsidRDefault="00D674FC" w:rsidP="00754FD1">
            <w:pPr>
              <w:pStyle w:val="TableParagraph"/>
              <w:keepLines/>
              <w:widowControl/>
              <w:spacing w:line="222" w:lineRule="exact"/>
              <w:ind w:left="16" w:right="2"/>
              <w:jc w:val="center"/>
              <w:rPr>
                <w:b/>
                <w:sz w:val="18"/>
                <w:szCs w:val="20"/>
              </w:rPr>
            </w:pPr>
            <w:r w:rsidRPr="00AB56BB">
              <w:rPr>
                <w:b/>
                <w:spacing w:val="-5"/>
                <w:sz w:val="18"/>
                <w:szCs w:val="20"/>
              </w:rPr>
              <w:t>Key</w:t>
            </w:r>
          </w:p>
        </w:tc>
        <w:tc>
          <w:tcPr>
            <w:tcW w:w="11018" w:type="dxa"/>
            <w:gridSpan w:val="5"/>
          </w:tcPr>
          <w:p w14:paraId="53843495" w14:textId="77777777" w:rsidR="00301124" w:rsidRPr="00AB56BB" w:rsidRDefault="00301124" w:rsidP="00754FD1">
            <w:pPr>
              <w:pStyle w:val="TableParagraph"/>
              <w:keepLines/>
              <w:widowControl/>
              <w:rPr>
                <w:rFonts w:ascii="Times New Roman"/>
                <w:sz w:val="18"/>
                <w:szCs w:val="20"/>
              </w:rPr>
            </w:pPr>
          </w:p>
        </w:tc>
      </w:tr>
      <w:tr w:rsidR="00301124" w:rsidRPr="00AB56BB" w14:paraId="64E5BDC2" w14:textId="77777777" w:rsidTr="2539CAE0">
        <w:tc>
          <w:tcPr>
            <w:tcW w:w="1945" w:type="dxa"/>
          </w:tcPr>
          <w:p w14:paraId="27A4969B" w14:textId="77777777" w:rsidR="00301124" w:rsidRPr="00AB56BB" w:rsidRDefault="00D674FC" w:rsidP="00754FD1">
            <w:pPr>
              <w:pStyle w:val="TableParagraph"/>
              <w:keepLines/>
              <w:widowControl/>
              <w:spacing w:line="222" w:lineRule="exact"/>
              <w:ind w:left="16"/>
              <w:jc w:val="center"/>
              <w:rPr>
                <w:b/>
                <w:sz w:val="18"/>
                <w:szCs w:val="20"/>
              </w:rPr>
            </w:pPr>
            <w:r w:rsidRPr="00AB56BB">
              <w:rPr>
                <w:b/>
                <w:spacing w:val="-10"/>
                <w:sz w:val="18"/>
                <w:szCs w:val="20"/>
              </w:rPr>
              <w:t>+</w:t>
            </w:r>
          </w:p>
        </w:tc>
        <w:tc>
          <w:tcPr>
            <w:tcW w:w="2217" w:type="dxa"/>
          </w:tcPr>
          <w:p w14:paraId="70327E4A" w14:textId="77777777" w:rsidR="00301124" w:rsidRPr="00AB56BB" w:rsidRDefault="00D674FC" w:rsidP="00754FD1">
            <w:pPr>
              <w:pStyle w:val="TableParagraph"/>
              <w:keepLines/>
              <w:widowControl/>
              <w:spacing w:line="222" w:lineRule="exact"/>
              <w:ind w:left="3" w:right="3"/>
              <w:jc w:val="center"/>
              <w:rPr>
                <w:b/>
                <w:sz w:val="18"/>
                <w:szCs w:val="20"/>
              </w:rPr>
            </w:pPr>
            <w:r w:rsidRPr="00AB56BB">
              <w:rPr>
                <w:b/>
                <w:spacing w:val="-5"/>
                <w:sz w:val="18"/>
                <w:szCs w:val="20"/>
              </w:rPr>
              <w:t>Yes</w:t>
            </w:r>
          </w:p>
        </w:tc>
        <w:tc>
          <w:tcPr>
            <w:tcW w:w="8801" w:type="dxa"/>
            <w:gridSpan w:val="4"/>
          </w:tcPr>
          <w:p w14:paraId="5C23CFBF" w14:textId="77777777"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9"/>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incents</w:t>
            </w:r>
            <w:r w:rsidRPr="00AB56BB">
              <w:rPr>
                <w:b/>
                <w:spacing w:val="-2"/>
                <w:sz w:val="18"/>
                <w:szCs w:val="20"/>
              </w:rPr>
              <w:t xml:space="preserve"> </w:t>
            </w:r>
            <w:r w:rsidRPr="00AB56BB">
              <w:rPr>
                <w:b/>
                <w:sz w:val="18"/>
                <w:szCs w:val="20"/>
              </w:rPr>
              <w:t>achievement</w:t>
            </w:r>
            <w:r w:rsidRPr="00AB56BB">
              <w:rPr>
                <w:b/>
                <w:spacing w:val="-5"/>
                <w:sz w:val="18"/>
                <w:szCs w:val="20"/>
              </w:rPr>
              <w:t xml:space="preserve"> </w:t>
            </w:r>
            <w:r w:rsidRPr="00AB56BB">
              <w:rPr>
                <w:sz w:val="18"/>
                <w:szCs w:val="20"/>
              </w:rPr>
              <w:t>of</w:t>
            </w:r>
            <w:r w:rsidRPr="00AB56BB">
              <w:rPr>
                <w:spacing w:val="-2"/>
                <w:sz w:val="18"/>
                <w:szCs w:val="20"/>
              </w:rPr>
              <w:t xml:space="preserve"> </w:t>
            </w:r>
            <w:r w:rsidRPr="00AB56BB">
              <w:rPr>
                <w:sz w:val="18"/>
                <w:szCs w:val="20"/>
              </w:rPr>
              <w:t>this</w:t>
            </w:r>
            <w:r w:rsidRPr="00AB56BB">
              <w:rPr>
                <w:spacing w:val="1"/>
                <w:sz w:val="18"/>
                <w:szCs w:val="20"/>
              </w:rPr>
              <w:t xml:space="preserve"> </w:t>
            </w:r>
            <w:r w:rsidRPr="00AB56BB">
              <w:rPr>
                <w:spacing w:val="-2"/>
                <w:sz w:val="18"/>
                <w:szCs w:val="20"/>
              </w:rPr>
              <w:t>outcome.</w:t>
            </w:r>
          </w:p>
        </w:tc>
      </w:tr>
      <w:tr w:rsidR="00301124" w:rsidRPr="00AB56BB" w14:paraId="0B661C66" w14:textId="77777777" w:rsidTr="2539CAE0">
        <w:tc>
          <w:tcPr>
            <w:tcW w:w="1945" w:type="dxa"/>
          </w:tcPr>
          <w:p w14:paraId="5CADA07A" w14:textId="77777777" w:rsidR="00301124" w:rsidRPr="00AB56BB" w:rsidRDefault="00D674FC" w:rsidP="00754FD1">
            <w:pPr>
              <w:pStyle w:val="TableParagraph"/>
              <w:keepLines/>
              <w:widowControl/>
              <w:spacing w:line="222" w:lineRule="exact"/>
              <w:ind w:left="16" w:right="5"/>
              <w:jc w:val="center"/>
              <w:rPr>
                <w:b/>
                <w:sz w:val="18"/>
                <w:szCs w:val="20"/>
              </w:rPr>
            </w:pPr>
            <w:r w:rsidRPr="00AB56BB">
              <w:rPr>
                <w:b/>
                <w:spacing w:val="-10"/>
                <w:sz w:val="18"/>
                <w:szCs w:val="20"/>
              </w:rPr>
              <w:t>0</w:t>
            </w:r>
          </w:p>
        </w:tc>
        <w:tc>
          <w:tcPr>
            <w:tcW w:w="2217" w:type="dxa"/>
          </w:tcPr>
          <w:p w14:paraId="0BF262D5" w14:textId="77777777" w:rsidR="00301124" w:rsidRPr="00AB56BB" w:rsidRDefault="00D674FC" w:rsidP="00754FD1">
            <w:pPr>
              <w:pStyle w:val="TableParagraph"/>
              <w:keepLines/>
              <w:widowControl/>
              <w:spacing w:line="222" w:lineRule="exact"/>
              <w:ind w:left="1" w:right="4"/>
              <w:jc w:val="center"/>
              <w:rPr>
                <w:b/>
                <w:sz w:val="18"/>
                <w:szCs w:val="20"/>
              </w:rPr>
            </w:pPr>
            <w:r w:rsidRPr="00AB56BB">
              <w:rPr>
                <w:b/>
                <w:sz w:val="18"/>
                <w:szCs w:val="20"/>
              </w:rPr>
              <w:t>No</w:t>
            </w:r>
            <w:r w:rsidRPr="00AB56BB">
              <w:rPr>
                <w:b/>
                <w:spacing w:val="-5"/>
                <w:sz w:val="18"/>
                <w:szCs w:val="20"/>
              </w:rPr>
              <w:t xml:space="preserve"> </w:t>
            </w:r>
            <w:r w:rsidRPr="00AB56BB">
              <w:rPr>
                <w:b/>
                <w:spacing w:val="-2"/>
                <w:sz w:val="18"/>
                <w:szCs w:val="20"/>
              </w:rPr>
              <w:t>Impact</w:t>
            </w:r>
          </w:p>
        </w:tc>
        <w:tc>
          <w:tcPr>
            <w:tcW w:w="8801" w:type="dxa"/>
            <w:gridSpan w:val="4"/>
          </w:tcPr>
          <w:p w14:paraId="6CC6382E" w14:textId="5D917108" w:rsidR="00301124" w:rsidRPr="00AB56BB" w:rsidRDefault="00D674FC" w:rsidP="00754FD1">
            <w:pPr>
              <w:pStyle w:val="TableParagraph"/>
              <w:keepLines/>
              <w:widowControl/>
              <w:spacing w:line="222"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5"/>
                <w:sz w:val="18"/>
                <w:szCs w:val="20"/>
              </w:rPr>
              <w:t xml:space="preserve"> </w:t>
            </w:r>
            <w:r w:rsidRPr="00AB56BB">
              <w:rPr>
                <w:sz w:val="18"/>
                <w:szCs w:val="20"/>
              </w:rPr>
              <w:t>or</w:t>
            </w:r>
            <w:r w:rsidRPr="00AB56BB">
              <w:rPr>
                <w:spacing w:val="-2"/>
                <w:sz w:val="18"/>
                <w:szCs w:val="20"/>
              </w:rPr>
              <w:t xml:space="preserve"> </w:t>
            </w:r>
            <w:r w:rsidRPr="00AB56BB">
              <w:rPr>
                <w:sz w:val="18"/>
                <w:szCs w:val="20"/>
              </w:rPr>
              <w:t>program</w:t>
            </w:r>
            <w:r w:rsidRPr="00AB56BB">
              <w:rPr>
                <w:spacing w:val="1"/>
                <w:sz w:val="18"/>
                <w:szCs w:val="20"/>
              </w:rPr>
              <w:t xml:space="preserve"> </w:t>
            </w:r>
            <w:r w:rsidRPr="00AB56BB">
              <w:rPr>
                <w:b/>
                <w:sz w:val="18"/>
                <w:szCs w:val="20"/>
              </w:rPr>
              <w:t>does</w:t>
            </w:r>
            <w:r w:rsidRPr="00AB56BB">
              <w:rPr>
                <w:b/>
                <w:spacing w:val="-5"/>
                <w:sz w:val="18"/>
                <w:szCs w:val="20"/>
              </w:rPr>
              <w:t xml:space="preserve"> </w:t>
            </w:r>
            <w:r w:rsidRPr="00AB56BB">
              <w:rPr>
                <w:b/>
                <w:sz w:val="18"/>
                <w:szCs w:val="20"/>
              </w:rPr>
              <w:t>not</w:t>
            </w:r>
            <w:r w:rsidRPr="00AB56BB">
              <w:rPr>
                <w:b/>
                <w:spacing w:val="-6"/>
                <w:sz w:val="18"/>
                <w:szCs w:val="20"/>
              </w:rPr>
              <w:t xml:space="preserve"> </w:t>
            </w:r>
            <w:r w:rsidRPr="00AB56BB">
              <w:rPr>
                <w:b/>
                <w:sz w:val="18"/>
                <w:szCs w:val="20"/>
              </w:rPr>
              <w:t>seem</w:t>
            </w:r>
            <w:r w:rsidRPr="00AB56BB">
              <w:rPr>
                <w:b/>
                <w:spacing w:val="-1"/>
                <w:sz w:val="18"/>
                <w:szCs w:val="20"/>
              </w:rPr>
              <w:t xml:space="preserve"> </w:t>
            </w:r>
            <w:r w:rsidRPr="00AB56BB">
              <w:rPr>
                <w:b/>
                <w:sz w:val="18"/>
                <w:szCs w:val="20"/>
              </w:rPr>
              <w:t>to</w:t>
            </w:r>
            <w:r w:rsidRPr="00AB56BB">
              <w:rPr>
                <w:b/>
                <w:spacing w:val="-2"/>
                <w:sz w:val="18"/>
                <w:szCs w:val="20"/>
              </w:rPr>
              <w:t xml:space="preserve"> </w:t>
            </w:r>
            <w:r w:rsidRPr="00AB56BB">
              <w:rPr>
                <w:b/>
                <w:sz w:val="18"/>
                <w:szCs w:val="20"/>
              </w:rPr>
              <w:t xml:space="preserve">impact </w:t>
            </w:r>
            <w:r w:rsidR="008D1F0D">
              <w:rPr>
                <w:b/>
                <w:sz w:val="18"/>
                <w:szCs w:val="20"/>
              </w:rPr>
              <w:t xml:space="preserve">the </w:t>
            </w:r>
            <w:r w:rsidRPr="00AB56BB">
              <w:rPr>
                <w:b/>
                <w:sz w:val="18"/>
                <w:szCs w:val="20"/>
              </w:rPr>
              <w:t>achievement</w:t>
            </w:r>
            <w:r w:rsidRPr="00AB56BB">
              <w:rPr>
                <w:b/>
                <w:spacing w:val="-3"/>
                <w:sz w:val="18"/>
                <w:szCs w:val="20"/>
              </w:rPr>
              <w:t xml:space="preserve"> </w:t>
            </w:r>
            <w:r w:rsidRPr="00AB56BB">
              <w:rPr>
                <w:sz w:val="18"/>
                <w:szCs w:val="20"/>
              </w:rPr>
              <w:t>of</w:t>
            </w:r>
            <w:r w:rsidRPr="00AB56BB">
              <w:rPr>
                <w:spacing w:val="-5"/>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5A2D61CB" w14:textId="77777777" w:rsidTr="2539CAE0">
        <w:tc>
          <w:tcPr>
            <w:tcW w:w="1945" w:type="dxa"/>
          </w:tcPr>
          <w:p w14:paraId="675C26E1" w14:textId="77777777" w:rsidR="00301124" w:rsidRPr="00AB56BB" w:rsidRDefault="00D674FC" w:rsidP="00754FD1">
            <w:pPr>
              <w:pStyle w:val="TableParagraph"/>
              <w:keepLines/>
              <w:widowControl/>
              <w:spacing w:line="223" w:lineRule="exact"/>
              <w:ind w:left="16"/>
              <w:jc w:val="center"/>
              <w:rPr>
                <w:b/>
                <w:sz w:val="18"/>
                <w:szCs w:val="20"/>
              </w:rPr>
            </w:pPr>
            <w:r w:rsidRPr="00AB56BB">
              <w:rPr>
                <w:b/>
                <w:spacing w:val="-10"/>
                <w:sz w:val="18"/>
                <w:szCs w:val="20"/>
              </w:rPr>
              <w:t>-</w:t>
            </w:r>
          </w:p>
        </w:tc>
        <w:tc>
          <w:tcPr>
            <w:tcW w:w="2217" w:type="dxa"/>
          </w:tcPr>
          <w:p w14:paraId="554C7DEC" w14:textId="77777777" w:rsidR="00301124" w:rsidRPr="00AB56BB" w:rsidRDefault="00D674FC" w:rsidP="00754FD1">
            <w:pPr>
              <w:pStyle w:val="TableParagraph"/>
              <w:keepLines/>
              <w:widowControl/>
              <w:spacing w:line="223" w:lineRule="exact"/>
              <w:ind w:left="4" w:right="3"/>
              <w:jc w:val="center"/>
              <w:rPr>
                <w:b/>
                <w:sz w:val="18"/>
                <w:szCs w:val="20"/>
              </w:rPr>
            </w:pPr>
            <w:r w:rsidRPr="00AB56BB">
              <w:rPr>
                <w:b/>
                <w:spacing w:val="-5"/>
                <w:sz w:val="18"/>
                <w:szCs w:val="20"/>
              </w:rPr>
              <w:t>No</w:t>
            </w:r>
          </w:p>
        </w:tc>
        <w:tc>
          <w:tcPr>
            <w:tcW w:w="8801" w:type="dxa"/>
            <w:gridSpan w:val="4"/>
          </w:tcPr>
          <w:p w14:paraId="7287AE0F" w14:textId="6E8B29A6" w:rsidR="00301124" w:rsidRPr="00AB56BB" w:rsidRDefault="00D674FC" w:rsidP="00754FD1">
            <w:pPr>
              <w:pStyle w:val="TableParagraph"/>
              <w:keepLines/>
              <w:widowControl/>
              <w:spacing w:line="223" w:lineRule="exact"/>
              <w:ind w:left="103"/>
              <w:rPr>
                <w:sz w:val="18"/>
                <w:szCs w:val="20"/>
              </w:rPr>
            </w:pPr>
            <w:r w:rsidRPr="00AB56BB">
              <w:rPr>
                <w:sz w:val="18"/>
                <w:szCs w:val="20"/>
              </w:rPr>
              <w:t>The</w:t>
            </w:r>
            <w:r w:rsidRPr="00AB56BB">
              <w:rPr>
                <w:spacing w:val="-8"/>
                <w:sz w:val="18"/>
                <w:szCs w:val="20"/>
              </w:rPr>
              <w:t xml:space="preserve"> </w:t>
            </w:r>
            <w:r w:rsidRPr="00AB56BB">
              <w:rPr>
                <w:sz w:val="18"/>
                <w:szCs w:val="20"/>
              </w:rPr>
              <w:t>mechanism</w:t>
            </w:r>
            <w:r w:rsidRPr="00AB56BB">
              <w:rPr>
                <w:spacing w:val="-6"/>
                <w:sz w:val="18"/>
                <w:szCs w:val="20"/>
              </w:rPr>
              <w:t xml:space="preserve"> </w:t>
            </w:r>
            <w:r w:rsidRPr="00AB56BB">
              <w:rPr>
                <w:sz w:val="18"/>
                <w:szCs w:val="20"/>
              </w:rPr>
              <w:t>or</w:t>
            </w:r>
            <w:r w:rsidRPr="00AB56BB">
              <w:rPr>
                <w:spacing w:val="-2"/>
                <w:sz w:val="18"/>
                <w:szCs w:val="20"/>
              </w:rPr>
              <w:t xml:space="preserve"> </w:t>
            </w:r>
            <w:r w:rsidRPr="00AB56BB">
              <w:rPr>
                <w:sz w:val="18"/>
                <w:szCs w:val="20"/>
              </w:rPr>
              <w:t xml:space="preserve">program </w:t>
            </w:r>
            <w:r w:rsidRPr="00AB56BB">
              <w:rPr>
                <w:b/>
                <w:sz w:val="18"/>
                <w:szCs w:val="20"/>
              </w:rPr>
              <w:t>disincentivizes</w:t>
            </w:r>
            <w:r w:rsidRPr="00AB56BB">
              <w:rPr>
                <w:b/>
                <w:spacing w:val="-6"/>
                <w:sz w:val="18"/>
                <w:szCs w:val="20"/>
              </w:rPr>
              <w:t xml:space="preserve"> </w:t>
            </w:r>
            <w:r w:rsidR="008D1F0D">
              <w:rPr>
                <w:b/>
                <w:spacing w:val="-6"/>
                <w:sz w:val="18"/>
                <w:szCs w:val="20"/>
              </w:rPr>
              <w:t xml:space="preserve">the </w:t>
            </w:r>
            <w:r w:rsidRPr="00AB56BB">
              <w:rPr>
                <w:b/>
                <w:sz w:val="18"/>
                <w:szCs w:val="20"/>
              </w:rPr>
              <w:t>achievement</w:t>
            </w:r>
            <w:r w:rsidRPr="00AB56BB">
              <w:rPr>
                <w:b/>
                <w:spacing w:val="-4"/>
                <w:sz w:val="18"/>
                <w:szCs w:val="20"/>
              </w:rPr>
              <w:t xml:space="preserve"> </w:t>
            </w:r>
            <w:r w:rsidRPr="00AB56BB">
              <w:rPr>
                <w:sz w:val="18"/>
                <w:szCs w:val="20"/>
              </w:rPr>
              <w:t>of</w:t>
            </w:r>
            <w:r w:rsidRPr="00AB56BB">
              <w:rPr>
                <w:spacing w:val="-6"/>
                <w:sz w:val="18"/>
                <w:szCs w:val="20"/>
              </w:rPr>
              <w:t xml:space="preserve"> </w:t>
            </w:r>
            <w:r w:rsidRPr="00AB56BB">
              <w:rPr>
                <w:sz w:val="18"/>
                <w:szCs w:val="20"/>
              </w:rPr>
              <w:t>this</w:t>
            </w:r>
            <w:r w:rsidRPr="00AB56BB">
              <w:rPr>
                <w:spacing w:val="-3"/>
                <w:sz w:val="18"/>
                <w:szCs w:val="20"/>
              </w:rPr>
              <w:t xml:space="preserve"> </w:t>
            </w:r>
            <w:r w:rsidRPr="00AB56BB">
              <w:rPr>
                <w:spacing w:val="-2"/>
                <w:sz w:val="18"/>
                <w:szCs w:val="20"/>
              </w:rPr>
              <w:t>outcome.</w:t>
            </w:r>
          </w:p>
        </w:tc>
      </w:tr>
      <w:tr w:rsidR="00301124" w:rsidRPr="00AB56BB" w14:paraId="6FAE87BA" w14:textId="77777777" w:rsidTr="2539CAE0">
        <w:tc>
          <w:tcPr>
            <w:tcW w:w="1945" w:type="dxa"/>
            <w:vMerge w:val="restart"/>
            <w:shd w:val="clear" w:color="auto" w:fill="3B7E32"/>
            <w:vAlign w:val="center"/>
          </w:tcPr>
          <w:p w14:paraId="171D5AB7" w14:textId="77777777" w:rsidR="00301124" w:rsidRPr="00AB56BB" w:rsidRDefault="00D674FC" w:rsidP="00754FD1">
            <w:pPr>
              <w:pStyle w:val="TableParagraph"/>
              <w:keepLines/>
              <w:widowControl/>
              <w:spacing w:line="232" w:lineRule="auto"/>
              <w:ind w:left="110" w:right="203"/>
              <w:rPr>
                <w:b/>
                <w:sz w:val="18"/>
                <w:szCs w:val="20"/>
              </w:rPr>
            </w:pPr>
            <w:r w:rsidRPr="00AB56BB">
              <w:rPr>
                <w:b/>
                <w:color w:val="FFFFFF"/>
                <w:spacing w:val="-2"/>
                <w:sz w:val="18"/>
                <w:szCs w:val="20"/>
              </w:rPr>
              <w:t xml:space="preserve">Existing Regulatory </w:t>
            </w:r>
            <w:r w:rsidRPr="00AB56BB">
              <w:rPr>
                <w:b/>
                <w:color w:val="FFFFFF"/>
                <w:sz w:val="18"/>
                <w:szCs w:val="20"/>
              </w:rPr>
              <w:t>Mechanisms</w:t>
            </w:r>
            <w:r w:rsidRPr="00AB56BB">
              <w:rPr>
                <w:b/>
                <w:color w:val="FFFFFF"/>
                <w:spacing w:val="-14"/>
                <w:sz w:val="18"/>
                <w:szCs w:val="20"/>
              </w:rPr>
              <w:t xml:space="preserve"> </w:t>
            </w:r>
            <w:r w:rsidRPr="00AB56BB">
              <w:rPr>
                <w:b/>
                <w:color w:val="FFFFFF"/>
                <w:sz w:val="18"/>
                <w:szCs w:val="20"/>
              </w:rPr>
              <w:t xml:space="preserve">and </w:t>
            </w:r>
            <w:r w:rsidRPr="00AB56BB">
              <w:rPr>
                <w:b/>
                <w:color w:val="FFFFFF"/>
                <w:spacing w:val="-2"/>
                <w:sz w:val="18"/>
                <w:szCs w:val="20"/>
              </w:rPr>
              <w:t>Programs</w:t>
            </w:r>
          </w:p>
        </w:tc>
        <w:tc>
          <w:tcPr>
            <w:tcW w:w="2217" w:type="dxa"/>
            <w:vMerge w:val="restart"/>
            <w:shd w:val="clear" w:color="auto" w:fill="3B7E32"/>
            <w:vAlign w:val="center"/>
          </w:tcPr>
          <w:p w14:paraId="35C0F124" w14:textId="77777777" w:rsidR="00301124" w:rsidRPr="00AB56BB" w:rsidRDefault="00D674FC" w:rsidP="00754FD1">
            <w:pPr>
              <w:pStyle w:val="TableParagraph"/>
              <w:keepLines/>
              <w:widowControl/>
              <w:ind w:left="555"/>
              <w:rPr>
                <w:b/>
                <w:sz w:val="18"/>
                <w:szCs w:val="20"/>
              </w:rPr>
            </w:pPr>
            <w:r w:rsidRPr="00AB56BB">
              <w:rPr>
                <w:b/>
                <w:color w:val="FFFFFF"/>
                <w:spacing w:val="-2"/>
                <w:sz w:val="18"/>
                <w:szCs w:val="20"/>
              </w:rPr>
              <w:t>Description</w:t>
            </w:r>
          </w:p>
        </w:tc>
        <w:tc>
          <w:tcPr>
            <w:tcW w:w="4267" w:type="dxa"/>
            <w:gridSpan w:val="3"/>
            <w:shd w:val="clear" w:color="auto" w:fill="3B7E32"/>
          </w:tcPr>
          <w:p w14:paraId="45EFD270" w14:textId="77777777" w:rsidR="00301124" w:rsidRPr="00AB56BB" w:rsidRDefault="00D674FC" w:rsidP="00754FD1">
            <w:pPr>
              <w:pStyle w:val="TableParagraph"/>
              <w:keepLines/>
              <w:widowControl/>
              <w:spacing w:before="131" w:line="235" w:lineRule="auto"/>
              <w:ind w:right="527"/>
              <w:jc w:val="center"/>
              <w:rPr>
                <w:b/>
                <w:sz w:val="18"/>
                <w:szCs w:val="20"/>
              </w:rPr>
            </w:pPr>
            <w:r w:rsidRPr="00AB56BB">
              <w:rPr>
                <w:b/>
                <w:color w:val="FFFFFF"/>
                <w:sz w:val="18"/>
                <w:szCs w:val="20"/>
              </w:rPr>
              <w:t>Mechanism</w:t>
            </w:r>
            <w:r w:rsidRPr="00AB56BB">
              <w:rPr>
                <w:b/>
                <w:color w:val="FFFFFF"/>
                <w:spacing w:val="-10"/>
                <w:sz w:val="18"/>
                <w:szCs w:val="20"/>
              </w:rPr>
              <w:t xml:space="preserve"> </w:t>
            </w:r>
            <w:r w:rsidRPr="00AB56BB">
              <w:rPr>
                <w:b/>
                <w:color w:val="FFFFFF"/>
                <w:sz w:val="18"/>
                <w:szCs w:val="20"/>
              </w:rPr>
              <w:t>or</w:t>
            </w:r>
            <w:r w:rsidRPr="00AB56BB">
              <w:rPr>
                <w:b/>
                <w:color w:val="FFFFFF"/>
                <w:spacing w:val="-10"/>
                <w:sz w:val="18"/>
                <w:szCs w:val="20"/>
              </w:rPr>
              <w:t xml:space="preserve"> </w:t>
            </w:r>
            <w:r w:rsidRPr="00AB56BB">
              <w:rPr>
                <w:b/>
                <w:color w:val="FFFFFF"/>
                <w:sz w:val="18"/>
                <w:szCs w:val="20"/>
              </w:rPr>
              <w:t>Program’s</w:t>
            </w:r>
            <w:r w:rsidRPr="00AB56BB">
              <w:rPr>
                <w:b/>
                <w:color w:val="FFFFFF"/>
                <w:spacing w:val="-14"/>
                <w:sz w:val="18"/>
                <w:szCs w:val="20"/>
              </w:rPr>
              <w:t xml:space="preserve"> </w:t>
            </w:r>
            <w:r w:rsidRPr="00AB56BB">
              <w:rPr>
                <w:b/>
                <w:color w:val="FFFFFF"/>
                <w:sz w:val="18"/>
                <w:szCs w:val="20"/>
              </w:rPr>
              <w:t>Effect</w:t>
            </w:r>
            <w:r w:rsidRPr="00AB56BB">
              <w:rPr>
                <w:b/>
                <w:color w:val="FFFFFF"/>
                <w:spacing w:val="-10"/>
                <w:sz w:val="18"/>
                <w:szCs w:val="20"/>
              </w:rPr>
              <w:t xml:space="preserve"> </w:t>
            </w:r>
            <w:r w:rsidRPr="00AB56BB">
              <w:rPr>
                <w:b/>
                <w:color w:val="FFFFFF"/>
                <w:sz w:val="18"/>
                <w:szCs w:val="20"/>
              </w:rPr>
              <w:t xml:space="preserve">on </w:t>
            </w:r>
            <w:r w:rsidRPr="00AB56BB">
              <w:rPr>
                <w:b/>
                <w:color w:val="FFFFFF"/>
                <w:spacing w:val="-2"/>
                <w:sz w:val="18"/>
                <w:szCs w:val="20"/>
              </w:rPr>
              <w:t>Outcome</w:t>
            </w:r>
          </w:p>
        </w:tc>
        <w:tc>
          <w:tcPr>
            <w:tcW w:w="4534" w:type="dxa"/>
            <w:vMerge w:val="restart"/>
            <w:shd w:val="clear" w:color="auto" w:fill="3B7E32"/>
            <w:vAlign w:val="center"/>
          </w:tcPr>
          <w:p w14:paraId="40CC10D5" w14:textId="77777777" w:rsidR="00301124" w:rsidRPr="00AB56BB" w:rsidRDefault="00D674FC" w:rsidP="00754FD1">
            <w:pPr>
              <w:pStyle w:val="TableParagraph"/>
              <w:keepLines/>
              <w:widowControl/>
              <w:ind w:left="1271"/>
              <w:rPr>
                <w:b/>
                <w:sz w:val="18"/>
                <w:szCs w:val="20"/>
              </w:rPr>
            </w:pPr>
            <w:r w:rsidRPr="00AB56BB">
              <w:rPr>
                <w:b/>
                <w:color w:val="FFFFFF"/>
                <w:sz w:val="18"/>
                <w:szCs w:val="20"/>
              </w:rPr>
              <w:t>Issues</w:t>
            </w:r>
            <w:r w:rsidRPr="00AB56BB">
              <w:rPr>
                <w:b/>
                <w:color w:val="FFFFFF"/>
                <w:spacing w:val="-8"/>
                <w:sz w:val="18"/>
                <w:szCs w:val="20"/>
              </w:rPr>
              <w:t xml:space="preserve"> </w:t>
            </w:r>
            <w:r w:rsidRPr="00AB56BB">
              <w:rPr>
                <w:b/>
                <w:color w:val="FFFFFF"/>
                <w:sz w:val="18"/>
                <w:szCs w:val="20"/>
              </w:rPr>
              <w:t>for</w:t>
            </w:r>
            <w:r w:rsidRPr="00AB56BB">
              <w:rPr>
                <w:b/>
                <w:color w:val="FFFFFF"/>
                <w:spacing w:val="-3"/>
                <w:sz w:val="18"/>
                <w:szCs w:val="20"/>
              </w:rPr>
              <w:t xml:space="preserve"> </w:t>
            </w:r>
            <w:r w:rsidRPr="00AB56BB">
              <w:rPr>
                <w:b/>
                <w:color w:val="FFFFFF"/>
                <w:spacing w:val="-2"/>
                <w:sz w:val="18"/>
                <w:szCs w:val="20"/>
              </w:rPr>
              <w:t>Attention</w:t>
            </w:r>
          </w:p>
        </w:tc>
      </w:tr>
      <w:tr w:rsidR="00301124" w:rsidRPr="00AB56BB" w14:paraId="15DFADA7" w14:textId="77777777" w:rsidTr="2539CAE0">
        <w:tc>
          <w:tcPr>
            <w:tcW w:w="1945" w:type="dxa"/>
            <w:vMerge/>
          </w:tcPr>
          <w:p w14:paraId="1599EE4C" w14:textId="77777777" w:rsidR="00301124" w:rsidRPr="00AB56BB" w:rsidRDefault="00301124" w:rsidP="00754FD1">
            <w:pPr>
              <w:keepLines/>
              <w:widowControl/>
              <w:rPr>
                <w:sz w:val="18"/>
                <w:szCs w:val="20"/>
              </w:rPr>
            </w:pPr>
          </w:p>
        </w:tc>
        <w:tc>
          <w:tcPr>
            <w:tcW w:w="2217" w:type="dxa"/>
            <w:vMerge/>
          </w:tcPr>
          <w:p w14:paraId="4D5799AC" w14:textId="77777777" w:rsidR="00301124" w:rsidRPr="00AB56BB" w:rsidRDefault="00301124" w:rsidP="00754FD1">
            <w:pPr>
              <w:keepLines/>
              <w:widowControl/>
              <w:rPr>
                <w:sz w:val="18"/>
                <w:szCs w:val="20"/>
              </w:rPr>
            </w:pPr>
          </w:p>
        </w:tc>
        <w:tc>
          <w:tcPr>
            <w:tcW w:w="971" w:type="dxa"/>
            <w:gridSpan w:val="2"/>
            <w:shd w:val="clear" w:color="auto" w:fill="3B7E32"/>
          </w:tcPr>
          <w:p w14:paraId="34AF40F0" w14:textId="77777777" w:rsidR="00301124" w:rsidRPr="00AB56BB" w:rsidRDefault="00D674FC" w:rsidP="00202A48">
            <w:pPr>
              <w:pStyle w:val="TableParagraph"/>
              <w:keepLines/>
              <w:widowControl/>
              <w:spacing w:line="266" w:lineRule="auto"/>
              <w:ind w:left="208" w:right="199" w:hanging="5"/>
              <w:jc w:val="center"/>
              <w:rPr>
                <w:b/>
                <w:sz w:val="18"/>
                <w:szCs w:val="20"/>
              </w:rPr>
            </w:pPr>
            <w:r w:rsidRPr="00AB56BB">
              <w:rPr>
                <w:b/>
                <w:color w:val="FFFFFF"/>
                <w:spacing w:val="-2"/>
                <w:sz w:val="18"/>
                <w:szCs w:val="20"/>
              </w:rPr>
              <w:t>Score (+/0/-</w:t>
            </w:r>
            <w:r w:rsidRPr="00AB56BB">
              <w:rPr>
                <w:b/>
                <w:color w:val="FFFFFF"/>
                <w:spacing w:val="-10"/>
                <w:sz w:val="18"/>
                <w:szCs w:val="20"/>
              </w:rPr>
              <w:t>)</w:t>
            </w:r>
          </w:p>
        </w:tc>
        <w:tc>
          <w:tcPr>
            <w:tcW w:w="3296" w:type="dxa"/>
            <w:shd w:val="clear" w:color="auto" w:fill="3B7E32"/>
          </w:tcPr>
          <w:p w14:paraId="425B0EC7" w14:textId="77777777" w:rsidR="00301124" w:rsidRPr="00AB56BB" w:rsidRDefault="00D674FC" w:rsidP="00754FD1">
            <w:pPr>
              <w:pStyle w:val="TableParagraph"/>
              <w:keepLines/>
              <w:widowControl/>
              <w:spacing w:line="222" w:lineRule="exact"/>
              <w:ind w:right="2"/>
              <w:jc w:val="center"/>
              <w:rPr>
                <w:b/>
                <w:sz w:val="18"/>
                <w:szCs w:val="20"/>
              </w:rPr>
            </w:pPr>
            <w:r w:rsidRPr="00AB56BB">
              <w:rPr>
                <w:b/>
                <w:color w:val="FFFFFF"/>
                <w:spacing w:val="-2"/>
                <w:sz w:val="18"/>
                <w:szCs w:val="20"/>
              </w:rPr>
              <w:t>Discussion</w:t>
            </w:r>
          </w:p>
        </w:tc>
        <w:tc>
          <w:tcPr>
            <w:tcW w:w="4534" w:type="dxa"/>
            <w:vMerge/>
          </w:tcPr>
          <w:p w14:paraId="3A52CF18" w14:textId="77777777" w:rsidR="00301124" w:rsidRPr="00AB56BB" w:rsidRDefault="00301124" w:rsidP="00754FD1">
            <w:pPr>
              <w:keepLines/>
              <w:widowControl/>
              <w:rPr>
                <w:sz w:val="18"/>
                <w:szCs w:val="20"/>
              </w:rPr>
            </w:pPr>
          </w:p>
        </w:tc>
      </w:tr>
      <w:tr w:rsidR="00AB56BB" w:rsidRPr="00AB56BB" w14:paraId="693A73E4" w14:textId="77777777" w:rsidTr="2539CAE0">
        <w:tc>
          <w:tcPr>
            <w:tcW w:w="1945" w:type="dxa"/>
            <w:vMerge w:val="restart"/>
            <w:vAlign w:val="center"/>
          </w:tcPr>
          <w:p w14:paraId="4115A2A7" w14:textId="1E46E7E7" w:rsidR="00AB56BB" w:rsidRPr="00AB56BB" w:rsidRDefault="00AB56BB" w:rsidP="005448D6">
            <w:pPr>
              <w:pStyle w:val="TableParagraph"/>
              <w:keepLines/>
              <w:widowControl/>
              <w:spacing w:line="266" w:lineRule="auto"/>
              <w:ind w:left="60"/>
              <w:rPr>
                <w:b/>
                <w:sz w:val="18"/>
                <w:szCs w:val="20"/>
              </w:rPr>
            </w:pPr>
            <w:r w:rsidRPr="00AB56BB">
              <w:rPr>
                <w:b/>
                <w:sz w:val="18"/>
                <w:szCs w:val="20"/>
              </w:rPr>
              <w:lastRenderedPageBreak/>
              <w:t>Rate Reviews (typically biennial)</w:t>
            </w:r>
          </w:p>
        </w:tc>
        <w:tc>
          <w:tcPr>
            <w:tcW w:w="2217" w:type="dxa"/>
          </w:tcPr>
          <w:p w14:paraId="760DC957" w14:textId="3FEFD1A9" w:rsidR="00AB56BB" w:rsidRPr="00AB56BB" w:rsidRDefault="00AB56BB" w:rsidP="00754FD1">
            <w:pPr>
              <w:pStyle w:val="TableParagraph"/>
              <w:keepLines/>
              <w:widowControl/>
              <w:spacing w:before="98" w:line="232" w:lineRule="auto"/>
              <w:ind w:left="104" w:right="149"/>
              <w:rPr>
                <w:sz w:val="18"/>
                <w:szCs w:val="20"/>
              </w:rPr>
            </w:pPr>
            <w:r w:rsidRPr="00AB56BB">
              <w:rPr>
                <w:sz w:val="18"/>
                <w:szCs w:val="20"/>
              </w:rPr>
              <w:t>Forward-looking</w:t>
            </w:r>
          </w:p>
        </w:tc>
        <w:tc>
          <w:tcPr>
            <w:tcW w:w="971" w:type="dxa"/>
            <w:gridSpan w:val="2"/>
          </w:tcPr>
          <w:p w14:paraId="09F2054C" w14:textId="6482520F" w:rsidR="00AB56BB" w:rsidRPr="00AB56BB" w:rsidRDefault="00CA749C" w:rsidP="006D7164">
            <w:pPr>
              <w:pStyle w:val="TableParagraph"/>
              <w:keepLines/>
              <w:widowControl/>
              <w:jc w:val="center"/>
              <w:rPr>
                <w:rFonts w:ascii="Times New Roman"/>
                <w:sz w:val="18"/>
                <w:szCs w:val="20"/>
              </w:rPr>
            </w:pPr>
            <w:r>
              <w:rPr>
                <w:rFonts w:ascii="Times New Roman"/>
                <w:sz w:val="18"/>
                <w:szCs w:val="20"/>
              </w:rPr>
              <w:t>0</w:t>
            </w:r>
          </w:p>
        </w:tc>
        <w:tc>
          <w:tcPr>
            <w:tcW w:w="3296" w:type="dxa"/>
          </w:tcPr>
          <w:p w14:paraId="24C1DD4C" w14:textId="59447B15" w:rsidR="009B707A" w:rsidRPr="00AB56BB" w:rsidRDefault="00941AB6" w:rsidP="0030455B">
            <w:pPr>
              <w:pStyle w:val="TableParagraph"/>
              <w:keepLines/>
              <w:widowControl/>
              <w:rPr>
                <w:rFonts w:ascii="Times New Roman"/>
                <w:sz w:val="18"/>
                <w:szCs w:val="20"/>
              </w:rPr>
            </w:pPr>
            <w:r>
              <w:rPr>
                <w:rFonts w:ascii="Times New Roman"/>
                <w:sz w:val="18"/>
                <w:szCs w:val="20"/>
              </w:rPr>
              <w:t>Developing a r</w:t>
            </w:r>
            <w:r w:rsidR="00CA749C">
              <w:rPr>
                <w:rFonts w:ascii="Times New Roman"/>
                <w:sz w:val="18"/>
                <w:szCs w:val="20"/>
              </w:rPr>
              <w:t xml:space="preserve">obust time of use/time of day rate scheme and implementing it on a going forward basis could help shift load in a manner that optimizes </w:t>
            </w:r>
            <w:r w:rsidR="00F53696">
              <w:rPr>
                <w:rFonts w:ascii="Times New Roman"/>
                <w:sz w:val="18"/>
                <w:szCs w:val="20"/>
              </w:rPr>
              <w:t>zero carbon resources on the grid and</w:t>
            </w:r>
            <w:r w:rsidR="00847D1B">
              <w:rPr>
                <w:rFonts w:ascii="Times New Roman"/>
                <w:sz w:val="18"/>
                <w:szCs w:val="20"/>
              </w:rPr>
              <w:t xml:space="preserve"> could help to minimize unnecessary investments driven by load growth by minimizing peak load as much as possibl</w:t>
            </w:r>
            <w:r w:rsidR="009B707A">
              <w:rPr>
                <w:rFonts w:ascii="Times New Roman"/>
                <w:sz w:val="18"/>
                <w:szCs w:val="20"/>
              </w:rPr>
              <w:t xml:space="preserve">e. </w:t>
            </w:r>
          </w:p>
        </w:tc>
        <w:tc>
          <w:tcPr>
            <w:tcW w:w="4534" w:type="dxa"/>
          </w:tcPr>
          <w:p w14:paraId="3C53784A" w14:textId="40279301" w:rsidR="00AB56BB" w:rsidRPr="00AB56BB" w:rsidRDefault="00FB44E3" w:rsidP="00754FD1">
            <w:pPr>
              <w:pStyle w:val="TableParagraph"/>
              <w:keepLines/>
              <w:widowControl/>
              <w:rPr>
                <w:rFonts w:ascii="Times New Roman"/>
                <w:sz w:val="18"/>
                <w:szCs w:val="20"/>
              </w:rPr>
            </w:pPr>
            <w:r>
              <w:rPr>
                <w:rFonts w:ascii="Times New Roman"/>
                <w:sz w:val="18"/>
                <w:szCs w:val="20"/>
              </w:rPr>
              <w:t>Currently, forward looking rate reviews aren</w:t>
            </w:r>
            <w:r>
              <w:rPr>
                <w:rFonts w:ascii="Times New Roman"/>
                <w:sz w:val="18"/>
                <w:szCs w:val="20"/>
              </w:rPr>
              <w:t>’</w:t>
            </w:r>
            <w:r>
              <w:rPr>
                <w:rFonts w:ascii="Times New Roman"/>
                <w:sz w:val="18"/>
                <w:szCs w:val="20"/>
              </w:rPr>
              <w:t xml:space="preserve">t focused on load shifting and optimizing existing resources. With increased attention on data center driven load growth, this may be an area of opportunity to better evaluate cost of </w:t>
            </w:r>
            <w:proofErr w:type="gramStart"/>
            <w:r>
              <w:rPr>
                <w:rFonts w:ascii="Times New Roman"/>
                <w:sz w:val="18"/>
                <w:szCs w:val="20"/>
              </w:rPr>
              <w:t>service based</w:t>
            </w:r>
            <w:proofErr w:type="gramEnd"/>
            <w:r>
              <w:rPr>
                <w:rFonts w:ascii="Times New Roman"/>
                <w:sz w:val="18"/>
                <w:szCs w:val="20"/>
              </w:rPr>
              <w:t xml:space="preserve"> rates and if and how they should change based on established </w:t>
            </w:r>
            <w:r w:rsidR="001C6012">
              <w:rPr>
                <w:rFonts w:ascii="Times New Roman"/>
                <w:sz w:val="18"/>
                <w:szCs w:val="20"/>
              </w:rPr>
              <w:t xml:space="preserve">clean </w:t>
            </w:r>
            <w:r w:rsidR="00BF7E21">
              <w:rPr>
                <w:rFonts w:ascii="Times New Roman"/>
                <w:sz w:val="18"/>
                <w:szCs w:val="20"/>
              </w:rPr>
              <w:t xml:space="preserve">energy </w:t>
            </w:r>
            <w:r>
              <w:rPr>
                <w:rFonts w:ascii="Times New Roman"/>
                <w:sz w:val="18"/>
                <w:szCs w:val="20"/>
              </w:rPr>
              <w:t>policies.</w:t>
            </w:r>
          </w:p>
        </w:tc>
      </w:tr>
      <w:tr w:rsidR="00AB56BB" w:rsidRPr="00AB56BB" w14:paraId="6CCC7BB6" w14:textId="77777777" w:rsidTr="705AF046">
        <w:trPr>
          <w:trHeight w:val="1398"/>
        </w:trPr>
        <w:tc>
          <w:tcPr>
            <w:tcW w:w="1945" w:type="dxa"/>
            <w:vMerge/>
          </w:tcPr>
          <w:p w14:paraId="1D6A26E7" w14:textId="77777777" w:rsidR="00AB56BB" w:rsidRPr="00AB56BB" w:rsidRDefault="00AB56BB" w:rsidP="005448D6">
            <w:pPr>
              <w:pStyle w:val="TableParagraph"/>
              <w:keepLines/>
              <w:widowControl/>
              <w:spacing w:line="266" w:lineRule="auto"/>
              <w:ind w:left="60"/>
              <w:rPr>
                <w:b/>
                <w:sz w:val="18"/>
                <w:szCs w:val="20"/>
              </w:rPr>
            </w:pPr>
          </w:p>
        </w:tc>
        <w:tc>
          <w:tcPr>
            <w:tcW w:w="2217" w:type="dxa"/>
          </w:tcPr>
          <w:p w14:paraId="0C633161" w14:textId="50065DFC" w:rsidR="00AB56BB" w:rsidRPr="00170B8D" w:rsidRDefault="00A71544" w:rsidP="00754FD1">
            <w:pPr>
              <w:pStyle w:val="TableParagraph"/>
              <w:keepLines/>
              <w:widowControl/>
              <w:spacing w:before="98" w:line="232" w:lineRule="auto"/>
              <w:ind w:left="104" w:right="149"/>
              <w:rPr>
                <w:sz w:val="18"/>
                <w:szCs w:val="20"/>
              </w:rPr>
            </w:pPr>
            <w:r>
              <w:rPr>
                <w:sz w:val="18"/>
                <w:szCs w:val="20"/>
              </w:rPr>
              <w:t>Backward-looking</w:t>
            </w:r>
            <w:r w:rsidR="00AB56BB" w:rsidRPr="00170B8D">
              <w:rPr>
                <w:sz w:val="18"/>
                <w:szCs w:val="20"/>
              </w:rPr>
              <w:t xml:space="preserve"> (w/ earnings adjustments) </w:t>
            </w:r>
          </w:p>
        </w:tc>
        <w:tc>
          <w:tcPr>
            <w:tcW w:w="971" w:type="dxa"/>
            <w:gridSpan w:val="2"/>
          </w:tcPr>
          <w:p w14:paraId="546A1853" w14:textId="3688211F" w:rsidR="00AB56BB" w:rsidRPr="00AB56BB" w:rsidRDefault="00535810" w:rsidP="006D7164">
            <w:pPr>
              <w:pStyle w:val="TableParagraph"/>
              <w:keepLines/>
              <w:widowControl/>
              <w:jc w:val="center"/>
              <w:rPr>
                <w:rFonts w:ascii="Times New Roman"/>
                <w:sz w:val="18"/>
                <w:szCs w:val="20"/>
              </w:rPr>
            </w:pPr>
            <w:r>
              <w:rPr>
                <w:rFonts w:ascii="Times New Roman"/>
                <w:sz w:val="18"/>
                <w:szCs w:val="20"/>
              </w:rPr>
              <w:t>0</w:t>
            </w:r>
          </w:p>
        </w:tc>
        <w:tc>
          <w:tcPr>
            <w:tcW w:w="3296" w:type="dxa"/>
          </w:tcPr>
          <w:p w14:paraId="053409F0" w14:textId="50CDB4D6" w:rsidR="00AB56BB" w:rsidRPr="00AB56BB" w:rsidRDefault="00535810" w:rsidP="005A69A8">
            <w:pPr>
              <w:pStyle w:val="TableParagraph"/>
              <w:keepLines/>
              <w:widowControl/>
              <w:rPr>
                <w:rFonts w:ascii="Times New Roman"/>
                <w:sz w:val="18"/>
                <w:szCs w:val="18"/>
              </w:rPr>
            </w:pPr>
            <w:r>
              <w:rPr>
                <w:rFonts w:ascii="Times New Roman"/>
                <w:sz w:val="18"/>
                <w:szCs w:val="18"/>
              </w:rPr>
              <w:t>If these reviews were tied with appropriat</w:t>
            </w:r>
            <w:r w:rsidR="009713D1">
              <w:rPr>
                <w:rFonts w:ascii="Times New Roman"/>
                <w:sz w:val="18"/>
                <w:szCs w:val="18"/>
              </w:rPr>
              <w:t>e</w:t>
            </w:r>
            <w:r>
              <w:rPr>
                <w:rFonts w:ascii="Times New Roman"/>
                <w:sz w:val="18"/>
                <w:szCs w:val="18"/>
              </w:rPr>
              <w:t xml:space="preserve"> metrics to measure</w:t>
            </w:r>
            <w:r w:rsidR="009713D1">
              <w:rPr>
                <w:rFonts w:ascii="Times New Roman"/>
                <w:sz w:val="18"/>
                <w:szCs w:val="18"/>
              </w:rPr>
              <w:t xml:space="preserve"> progress toward policy directives, this could potentially be an effective mechanism to incent decarbonization</w:t>
            </w:r>
            <w:r w:rsidR="00A6394E">
              <w:rPr>
                <w:rFonts w:ascii="Times New Roman"/>
                <w:sz w:val="18"/>
                <w:szCs w:val="18"/>
              </w:rPr>
              <w:t>.</w:t>
            </w:r>
          </w:p>
        </w:tc>
        <w:tc>
          <w:tcPr>
            <w:tcW w:w="4534" w:type="dxa"/>
          </w:tcPr>
          <w:p w14:paraId="386DF13D" w14:textId="7E9F5ABE" w:rsidR="00AB56BB" w:rsidRPr="00AB56BB" w:rsidRDefault="00C11C86" w:rsidP="00754FD1">
            <w:pPr>
              <w:pStyle w:val="TableParagraph"/>
              <w:keepLines/>
              <w:widowControl/>
              <w:rPr>
                <w:rFonts w:ascii="Times New Roman"/>
                <w:sz w:val="18"/>
                <w:szCs w:val="20"/>
              </w:rPr>
            </w:pPr>
            <w:r>
              <w:rPr>
                <w:rFonts w:ascii="Times New Roman"/>
                <w:sz w:val="18"/>
                <w:szCs w:val="18"/>
              </w:rPr>
              <w:t xml:space="preserve">If perhaps there was some incentive associated with earnings adjustment that related to procurement of as much low cost clean energy as possible (or to meet and exceed DER allotments, or to develop virtual power plants with existing resources, or any number of resource specific incentives designed to better value the ancillary services associated with zero carbon technologies), backward looking earnings adjustments might incent decarbonization. Even so, identifying a </w:t>
            </w:r>
            <w:r>
              <w:rPr>
                <w:rFonts w:ascii="Times New Roman"/>
                <w:sz w:val="18"/>
                <w:szCs w:val="18"/>
              </w:rPr>
              <w:t>“</w:t>
            </w:r>
            <w:r>
              <w:rPr>
                <w:rFonts w:ascii="Times New Roman"/>
                <w:sz w:val="18"/>
                <w:szCs w:val="18"/>
              </w:rPr>
              <w:t>material</w:t>
            </w:r>
            <w:r>
              <w:rPr>
                <w:rFonts w:ascii="Times New Roman"/>
                <w:sz w:val="18"/>
                <w:szCs w:val="18"/>
              </w:rPr>
              <w:t>”</w:t>
            </w:r>
            <w:r>
              <w:rPr>
                <w:rFonts w:ascii="Times New Roman"/>
                <w:sz w:val="18"/>
                <w:szCs w:val="18"/>
              </w:rPr>
              <w:t xml:space="preserve"> enough incentive to move the utility would be necessary to bring effect to such an incentive.</w:t>
            </w:r>
          </w:p>
        </w:tc>
      </w:tr>
      <w:tr w:rsidR="00AB56BB" w:rsidRPr="00AB56BB" w14:paraId="694F2E9D" w14:textId="77777777" w:rsidTr="2539CAE0">
        <w:trPr>
          <w:trHeight w:val="302"/>
        </w:trPr>
        <w:tc>
          <w:tcPr>
            <w:tcW w:w="1945" w:type="dxa"/>
            <w:vAlign w:val="center"/>
          </w:tcPr>
          <w:p w14:paraId="74C1A3B5" w14:textId="41EC9DD7" w:rsidR="00AB56BB" w:rsidRPr="00AB56BB" w:rsidRDefault="00AB56BB" w:rsidP="005448D6">
            <w:pPr>
              <w:pStyle w:val="TableParagraph"/>
              <w:keepLines/>
              <w:widowControl/>
              <w:spacing w:line="266" w:lineRule="auto"/>
              <w:ind w:left="60"/>
              <w:rPr>
                <w:b/>
                <w:sz w:val="18"/>
                <w:szCs w:val="20"/>
              </w:rPr>
            </w:pPr>
            <w:r>
              <w:rPr>
                <w:b/>
                <w:sz w:val="18"/>
                <w:szCs w:val="20"/>
              </w:rPr>
              <w:t>ROE Determinations</w:t>
            </w:r>
          </w:p>
        </w:tc>
        <w:tc>
          <w:tcPr>
            <w:tcW w:w="2217" w:type="dxa"/>
          </w:tcPr>
          <w:p w14:paraId="43B25263" w14:textId="77777777" w:rsidR="00AB56BB" w:rsidRPr="00AB56BB" w:rsidRDefault="00AB56BB" w:rsidP="00754FD1">
            <w:pPr>
              <w:pStyle w:val="TableParagraph"/>
              <w:keepLines/>
              <w:widowControl/>
              <w:spacing w:before="98" w:line="232" w:lineRule="auto"/>
              <w:ind w:left="104" w:right="149"/>
              <w:rPr>
                <w:sz w:val="18"/>
                <w:szCs w:val="20"/>
              </w:rPr>
            </w:pPr>
          </w:p>
        </w:tc>
        <w:tc>
          <w:tcPr>
            <w:tcW w:w="971" w:type="dxa"/>
            <w:gridSpan w:val="2"/>
          </w:tcPr>
          <w:p w14:paraId="2B0F6EB7" w14:textId="4C3AF32F" w:rsidR="00AB56BB" w:rsidRPr="00AB56BB" w:rsidRDefault="00CA6378" w:rsidP="006D7164">
            <w:pPr>
              <w:pStyle w:val="TableParagraph"/>
              <w:keepLines/>
              <w:widowControl/>
              <w:jc w:val="center"/>
              <w:rPr>
                <w:rFonts w:ascii="Times New Roman"/>
                <w:sz w:val="18"/>
                <w:szCs w:val="20"/>
              </w:rPr>
            </w:pPr>
            <w:r>
              <w:rPr>
                <w:rFonts w:ascii="Times New Roman"/>
                <w:sz w:val="18"/>
                <w:szCs w:val="20"/>
              </w:rPr>
              <w:t>0</w:t>
            </w:r>
          </w:p>
        </w:tc>
        <w:tc>
          <w:tcPr>
            <w:tcW w:w="3296" w:type="dxa"/>
          </w:tcPr>
          <w:p w14:paraId="2437247F" w14:textId="14168B71" w:rsidR="00AB56BB" w:rsidRDefault="003C0EDB" w:rsidP="00754FD1">
            <w:pPr>
              <w:pStyle w:val="TableParagraph"/>
              <w:keepLines/>
              <w:widowControl/>
              <w:rPr>
                <w:rFonts w:ascii="Times New Roman"/>
                <w:sz w:val="18"/>
                <w:szCs w:val="20"/>
              </w:rPr>
            </w:pPr>
            <w:r>
              <w:rPr>
                <w:rFonts w:ascii="Times New Roman"/>
                <w:sz w:val="18"/>
                <w:szCs w:val="20"/>
              </w:rPr>
              <w:t xml:space="preserve">Generally, a lower ROE, would likely tend toward disincentivizing </w:t>
            </w:r>
            <w:r w:rsidR="00B4689C">
              <w:rPr>
                <w:rFonts w:ascii="Times New Roman"/>
                <w:sz w:val="18"/>
                <w:szCs w:val="20"/>
              </w:rPr>
              <w:t>the pursuit of</w:t>
            </w:r>
            <w:r w:rsidR="003867A7">
              <w:rPr>
                <w:rFonts w:ascii="Times New Roman"/>
                <w:sz w:val="18"/>
                <w:szCs w:val="20"/>
              </w:rPr>
              <w:t xml:space="preserve"> </w:t>
            </w:r>
            <w:r w:rsidR="002D0F76">
              <w:rPr>
                <w:rFonts w:ascii="Times New Roman"/>
                <w:sz w:val="18"/>
                <w:szCs w:val="20"/>
              </w:rPr>
              <w:t>c</w:t>
            </w:r>
            <w:r w:rsidR="009A7CD7">
              <w:rPr>
                <w:rFonts w:ascii="Times New Roman"/>
                <w:sz w:val="18"/>
                <w:szCs w:val="20"/>
              </w:rPr>
              <w:t>ompany-owned</w:t>
            </w:r>
            <w:r w:rsidR="003867A7">
              <w:rPr>
                <w:rFonts w:ascii="Times New Roman"/>
                <w:sz w:val="18"/>
                <w:szCs w:val="20"/>
              </w:rPr>
              <w:t xml:space="preserve"> projects and could potentially </w:t>
            </w:r>
            <w:proofErr w:type="gramStart"/>
            <w:r w:rsidR="003867A7">
              <w:rPr>
                <w:rFonts w:ascii="Times New Roman"/>
                <w:sz w:val="18"/>
                <w:szCs w:val="20"/>
              </w:rPr>
              <w:t xml:space="preserve">make </w:t>
            </w:r>
            <w:r w:rsidR="0034652C">
              <w:rPr>
                <w:rFonts w:ascii="Times New Roman"/>
                <w:sz w:val="18"/>
                <w:szCs w:val="20"/>
              </w:rPr>
              <w:t>arrangements</w:t>
            </w:r>
            <w:proofErr w:type="gramEnd"/>
            <w:r w:rsidR="0034652C">
              <w:rPr>
                <w:rFonts w:ascii="Times New Roman"/>
                <w:sz w:val="18"/>
                <w:szCs w:val="20"/>
              </w:rPr>
              <w:t xml:space="preserve"> like PPAs more attractive.</w:t>
            </w:r>
          </w:p>
          <w:p w14:paraId="30ECD66D" w14:textId="77777777" w:rsidR="0034652C" w:rsidRDefault="0034652C" w:rsidP="00754FD1">
            <w:pPr>
              <w:pStyle w:val="TableParagraph"/>
              <w:keepLines/>
              <w:widowControl/>
              <w:rPr>
                <w:rFonts w:ascii="Times New Roman"/>
                <w:sz w:val="18"/>
                <w:szCs w:val="20"/>
              </w:rPr>
            </w:pPr>
          </w:p>
          <w:p w14:paraId="0A1738A7" w14:textId="0407EF3F" w:rsidR="00020898" w:rsidRPr="00AB56BB" w:rsidRDefault="00020898" w:rsidP="00754FD1">
            <w:pPr>
              <w:pStyle w:val="TableParagraph"/>
              <w:keepLines/>
              <w:widowControl/>
              <w:rPr>
                <w:rFonts w:ascii="Times New Roman"/>
                <w:sz w:val="18"/>
                <w:szCs w:val="20"/>
              </w:rPr>
            </w:pPr>
          </w:p>
        </w:tc>
        <w:tc>
          <w:tcPr>
            <w:tcW w:w="4534" w:type="dxa"/>
          </w:tcPr>
          <w:p w14:paraId="37E50DCC" w14:textId="53BC8C62" w:rsidR="00AB56BB" w:rsidRPr="00AB56BB" w:rsidRDefault="00CF0037" w:rsidP="00754FD1">
            <w:pPr>
              <w:pStyle w:val="TableParagraph"/>
              <w:keepLines/>
              <w:widowControl/>
              <w:rPr>
                <w:rFonts w:ascii="Times New Roman"/>
                <w:sz w:val="18"/>
                <w:szCs w:val="20"/>
              </w:rPr>
            </w:pPr>
            <w:r>
              <w:rPr>
                <w:rFonts w:ascii="Times New Roman"/>
                <w:sz w:val="18"/>
                <w:szCs w:val="20"/>
              </w:rPr>
              <w:t xml:space="preserve">At present the law favors more company-owned projects for new clean energy builds, so even if the ROE were lowered, it might not have the desired result of incentivizing more clean projects through PPAs (on which the utility does not earn a ROE) unless there were other legal changes related to clean energy procurement. </w:t>
            </w:r>
          </w:p>
        </w:tc>
      </w:tr>
      <w:tr w:rsidR="00170B8D" w:rsidRPr="00AB56BB" w14:paraId="6BCED2E3" w14:textId="77777777" w:rsidTr="2539CAE0">
        <w:tc>
          <w:tcPr>
            <w:tcW w:w="1945" w:type="dxa"/>
            <w:vMerge w:val="restart"/>
            <w:vAlign w:val="center"/>
          </w:tcPr>
          <w:p w14:paraId="59A8BB57" w14:textId="17ACB13E" w:rsidR="00170B8D" w:rsidRDefault="00170B8D" w:rsidP="00164208">
            <w:pPr>
              <w:pStyle w:val="TableParagraph"/>
              <w:keepLines/>
              <w:widowControl/>
              <w:spacing w:line="268" w:lineRule="auto"/>
              <w:ind w:left="60"/>
              <w:rPr>
                <w:b/>
                <w:spacing w:val="-2"/>
                <w:sz w:val="18"/>
                <w:szCs w:val="20"/>
              </w:rPr>
            </w:pPr>
            <w:r>
              <w:rPr>
                <w:b/>
                <w:spacing w:val="-2"/>
                <w:sz w:val="18"/>
                <w:szCs w:val="20"/>
              </w:rPr>
              <w:t>Rate Adjustment Clauses (i.e., trackers)</w:t>
            </w:r>
          </w:p>
        </w:tc>
        <w:tc>
          <w:tcPr>
            <w:tcW w:w="2217" w:type="dxa"/>
          </w:tcPr>
          <w:p w14:paraId="3927CDCD" w14:textId="783AE2E5" w:rsidR="00170B8D" w:rsidRDefault="0028509B" w:rsidP="00754FD1">
            <w:pPr>
              <w:pStyle w:val="TableParagraph"/>
              <w:keepLines/>
              <w:widowControl/>
              <w:spacing w:line="207" w:lineRule="exact"/>
              <w:ind w:left="104"/>
              <w:rPr>
                <w:sz w:val="18"/>
                <w:szCs w:val="20"/>
              </w:rPr>
            </w:pPr>
            <w:r w:rsidRPr="0028509B">
              <w:rPr>
                <w:sz w:val="18"/>
                <w:szCs w:val="20"/>
              </w:rPr>
              <w:t>RACs overall (general assessment of the use of RACs)</w:t>
            </w:r>
          </w:p>
        </w:tc>
        <w:tc>
          <w:tcPr>
            <w:tcW w:w="971" w:type="dxa"/>
            <w:gridSpan w:val="2"/>
          </w:tcPr>
          <w:p w14:paraId="470EF91B" w14:textId="16C8D1DF" w:rsidR="00170B8D" w:rsidRPr="00AB56BB" w:rsidRDefault="00B53424" w:rsidP="006D7164">
            <w:pPr>
              <w:pStyle w:val="TableParagraph"/>
              <w:keepLines/>
              <w:widowControl/>
              <w:jc w:val="center"/>
              <w:rPr>
                <w:rFonts w:ascii="Times New Roman"/>
                <w:sz w:val="18"/>
                <w:szCs w:val="20"/>
              </w:rPr>
            </w:pPr>
            <w:r>
              <w:rPr>
                <w:rFonts w:ascii="Times New Roman"/>
                <w:sz w:val="18"/>
                <w:szCs w:val="20"/>
              </w:rPr>
              <w:t>0</w:t>
            </w:r>
            <w:r w:rsidR="00FB0368">
              <w:rPr>
                <w:rFonts w:ascii="Times New Roman"/>
                <w:sz w:val="18"/>
                <w:szCs w:val="20"/>
              </w:rPr>
              <w:t>/-</w:t>
            </w:r>
          </w:p>
        </w:tc>
        <w:tc>
          <w:tcPr>
            <w:tcW w:w="3296" w:type="dxa"/>
          </w:tcPr>
          <w:p w14:paraId="21899F2A" w14:textId="74609A86" w:rsidR="00170B8D" w:rsidRDefault="00B97E39" w:rsidP="00754FD1">
            <w:pPr>
              <w:pStyle w:val="TableParagraph"/>
              <w:keepLines/>
              <w:widowControl/>
              <w:rPr>
                <w:rFonts w:ascii="Times New Roman"/>
                <w:sz w:val="18"/>
                <w:szCs w:val="18"/>
              </w:rPr>
            </w:pPr>
            <w:r>
              <w:rPr>
                <w:rFonts w:ascii="Times New Roman"/>
                <w:sz w:val="18"/>
                <w:szCs w:val="18"/>
              </w:rPr>
              <w:t xml:space="preserve">The RAC framework allows the utility an </w:t>
            </w:r>
            <w:r>
              <w:rPr>
                <w:rFonts w:ascii="Times New Roman"/>
                <w:sz w:val="18"/>
                <w:szCs w:val="18"/>
              </w:rPr>
              <w:t>“</w:t>
            </w:r>
            <w:r>
              <w:rPr>
                <w:rFonts w:ascii="Times New Roman"/>
                <w:sz w:val="18"/>
                <w:szCs w:val="18"/>
              </w:rPr>
              <w:t>out</w:t>
            </w:r>
            <w:r>
              <w:rPr>
                <w:rFonts w:ascii="Times New Roman"/>
                <w:sz w:val="18"/>
                <w:szCs w:val="18"/>
              </w:rPr>
              <w:t>”</w:t>
            </w:r>
            <w:r>
              <w:rPr>
                <w:rFonts w:ascii="Times New Roman"/>
                <w:sz w:val="18"/>
                <w:szCs w:val="18"/>
              </w:rPr>
              <w:t xml:space="preserve"> in that </w:t>
            </w:r>
            <w:r w:rsidR="00FA4AFA">
              <w:rPr>
                <w:rFonts w:ascii="Times New Roman"/>
                <w:sz w:val="18"/>
                <w:szCs w:val="18"/>
              </w:rPr>
              <w:t xml:space="preserve">it affords the utility opportunities to recover costs that </w:t>
            </w:r>
            <w:r w:rsidR="001E6F6A">
              <w:rPr>
                <w:rFonts w:ascii="Times New Roman"/>
                <w:sz w:val="18"/>
                <w:szCs w:val="18"/>
              </w:rPr>
              <w:t>c</w:t>
            </w:r>
            <w:r w:rsidR="00FA4AFA">
              <w:rPr>
                <w:rFonts w:ascii="Times New Roman"/>
                <w:sz w:val="18"/>
                <w:szCs w:val="18"/>
              </w:rPr>
              <w:t xml:space="preserve">ould otherwise be rate based. </w:t>
            </w:r>
            <w:r w:rsidR="00842662">
              <w:rPr>
                <w:rFonts w:ascii="Times New Roman"/>
                <w:sz w:val="18"/>
                <w:szCs w:val="18"/>
              </w:rPr>
              <w:t xml:space="preserve">This </w:t>
            </w:r>
            <w:r w:rsidR="00FA4AFA">
              <w:rPr>
                <w:rFonts w:ascii="Times New Roman"/>
                <w:sz w:val="18"/>
                <w:szCs w:val="18"/>
              </w:rPr>
              <w:t>tends toward obscuring the true cost of providing service</w:t>
            </w:r>
            <w:r w:rsidR="0095446F">
              <w:rPr>
                <w:rFonts w:ascii="Times New Roman"/>
                <w:sz w:val="18"/>
                <w:szCs w:val="18"/>
              </w:rPr>
              <w:t>.</w:t>
            </w:r>
          </w:p>
          <w:p w14:paraId="56339870" w14:textId="77777777" w:rsidR="00C003F6" w:rsidRDefault="00C003F6" w:rsidP="00754FD1">
            <w:pPr>
              <w:pStyle w:val="TableParagraph"/>
              <w:keepLines/>
              <w:widowControl/>
              <w:rPr>
                <w:rFonts w:ascii="Times New Roman"/>
                <w:sz w:val="18"/>
                <w:szCs w:val="18"/>
              </w:rPr>
            </w:pPr>
          </w:p>
          <w:p w14:paraId="24774D2A" w14:textId="43CB5A9A" w:rsidR="00C003F6" w:rsidRPr="073D5F75" w:rsidRDefault="00C003F6" w:rsidP="00754FD1">
            <w:pPr>
              <w:pStyle w:val="TableParagraph"/>
              <w:keepLines/>
              <w:widowControl/>
              <w:rPr>
                <w:rFonts w:ascii="Times New Roman"/>
                <w:sz w:val="18"/>
                <w:szCs w:val="18"/>
              </w:rPr>
            </w:pPr>
            <w:r>
              <w:rPr>
                <w:rFonts w:ascii="Times New Roman"/>
                <w:sz w:val="18"/>
                <w:szCs w:val="18"/>
              </w:rPr>
              <w:t>Understanding the full economic impact of a decarbonized electricity grid is important to</w:t>
            </w:r>
            <w:r w:rsidR="0039133C">
              <w:rPr>
                <w:rFonts w:ascii="Times New Roman"/>
                <w:sz w:val="18"/>
                <w:szCs w:val="18"/>
              </w:rPr>
              <w:t xml:space="preserve"> appropriately evaluate a utility</w:t>
            </w:r>
            <w:r w:rsidR="0039133C">
              <w:rPr>
                <w:rFonts w:ascii="Times New Roman"/>
                <w:sz w:val="18"/>
                <w:szCs w:val="18"/>
              </w:rPr>
              <w:t>’</w:t>
            </w:r>
            <w:r w:rsidR="0039133C">
              <w:rPr>
                <w:rFonts w:ascii="Times New Roman"/>
                <w:sz w:val="18"/>
                <w:szCs w:val="18"/>
              </w:rPr>
              <w:t>s operations and associated costs.</w:t>
            </w:r>
          </w:p>
        </w:tc>
        <w:tc>
          <w:tcPr>
            <w:tcW w:w="4534" w:type="dxa"/>
          </w:tcPr>
          <w:p w14:paraId="1714BD71" w14:textId="013356B7" w:rsidR="00170B8D" w:rsidRDefault="00EF1FDC" w:rsidP="00754FD1">
            <w:pPr>
              <w:pStyle w:val="TableParagraph"/>
              <w:keepLines/>
              <w:widowControl/>
              <w:rPr>
                <w:rFonts w:ascii="Times New Roman"/>
                <w:sz w:val="18"/>
                <w:szCs w:val="20"/>
              </w:rPr>
            </w:pPr>
            <w:r>
              <w:rPr>
                <w:rFonts w:ascii="Times New Roman"/>
                <w:sz w:val="18"/>
                <w:szCs w:val="20"/>
              </w:rPr>
              <w:t xml:space="preserve">Evaluating the impact of heavy RAC utilization </w:t>
            </w:r>
            <w:r w:rsidR="00290272">
              <w:rPr>
                <w:rFonts w:ascii="Times New Roman"/>
                <w:sz w:val="18"/>
                <w:szCs w:val="20"/>
              </w:rPr>
              <w:t xml:space="preserve">and the true costs of providing service seems an important step generally, </w:t>
            </w:r>
            <w:proofErr w:type="gramStart"/>
            <w:r w:rsidR="00290272">
              <w:rPr>
                <w:rFonts w:ascii="Times New Roman"/>
                <w:sz w:val="18"/>
                <w:szCs w:val="20"/>
              </w:rPr>
              <w:t>and also</w:t>
            </w:r>
            <w:proofErr w:type="gramEnd"/>
            <w:r w:rsidR="00290272">
              <w:rPr>
                <w:rFonts w:ascii="Times New Roman"/>
                <w:sz w:val="18"/>
                <w:szCs w:val="20"/>
              </w:rPr>
              <w:t xml:space="preserve"> specifically for decarbonizing electricity</w:t>
            </w:r>
            <w:r w:rsidR="007E4DBD">
              <w:rPr>
                <w:rFonts w:ascii="Times New Roman"/>
                <w:sz w:val="18"/>
                <w:szCs w:val="20"/>
              </w:rPr>
              <w:t xml:space="preserve"> (i.e., truly integrating these technologies as opposed to </w:t>
            </w:r>
            <w:proofErr w:type="spellStart"/>
            <w:r w:rsidR="007E4DBD">
              <w:rPr>
                <w:rFonts w:ascii="Times New Roman"/>
                <w:sz w:val="18"/>
                <w:szCs w:val="20"/>
              </w:rPr>
              <w:t>adhoc</w:t>
            </w:r>
            <w:proofErr w:type="spellEnd"/>
            <w:r w:rsidR="007E4DBD">
              <w:rPr>
                <w:rFonts w:ascii="Times New Roman"/>
                <w:sz w:val="18"/>
                <w:szCs w:val="20"/>
              </w:rPr>
              <w:t xml:space="preserve"> or piecemeal consideration of clean technologies for the purposes of meeting a statutory number</w:t>
            </w:r>
            <w:r w:rsidR="00D36C8D">
              <w:rPr>
                <w:rFonts w:ascii="Times New Roman"/>
                <w:sz w:val="18"/>
                <w:szCs w:val="20"/>
              </w:rPr>
              <w:t xml:space="preserve"> instead of planning more holistically for optimization)</w:t>
            </w:r>
            <w:r w:rsidR="00290272">
              <w:rPr>
                <w:rFonts w:ascii="Times New Roman"/>
                <w:sz w:val="18"/>
                <w:szCs w:val="20"/>
              </w:rPr>
              <w:t>.</w:t>
            </w:r>
          </w:p>
          <w:p w14:paraId="0FD7FB42" w14:textId="46B14340" w:rsidR="00275129" w:rsidRDefault="00275129" w:rsidP="00754FD1">
            <w:pPr>
              <w:pStyle w:val="TableParagraph"/>
              <w:keepLines/>
              <w:widowControl/>
              <w:rPr>
                <w:rFonts w:ascii="Times New Roman"/>
                <w:sz w:val="18"/>
                <w:szCs w:val="20"/>
              </w:rPr>
            </w:pPr>
          </w:p>
        </w:tc>
      </w:tr>
      <w:tr w:rsidR="005A69A8" w:rsidRPr="00AB56BB" w14:paraId="08118783" w14:textId="77777777" w:rsidTr="2539CAE0">
        <w:tc>
          <w:tcPr>
            <w:tcW w:w="1945" w:type="dxa"/>
            <w:vMerge/>
            <w:vAlign w:val="center"/>
          </w:tcPr>
          <w:p w14:paraId="6DD780F7" w14:textId="77777777" w:rsidR="005A69A8" w:rsidRDefault="005A69A8" w:rsidP="00164208">
            <w:pPr>
              <w:pStyle w:val="TableParagraph"/>
              <w:keepLines/>
              <w:widowControl/>
              <w:spacing w:line="268" w:lineRule="auto"/>
              <w:ind w:left="60"/>
              <w:rPr>
                <w:b/>
                <w:spacing w:val="-2"/>
                <w:sz w:val="18"/>
                <w:szCs w:val="20"/>
              </w:rPr>
            </w:pPr>
          </w:p>
        </w:tc>
        <w:tc>
          <w:tcPr>
            <w:tcW w:w="2217" w:type="dxa"/>
          </w:tcPr>
          <w:p w14:paraId="7F7B84E7" w14:textId="21DC8B1E" w:rsidR="005A69A8" w:rsidRDefault="005A69A8" w:rsidP="00754FD1">
            <w:pPr>
              <w:pStyle w:val="TableParagraph"/>
              <w:keepLines/>
              <w:widowControl/>
              <w:spacing w:line="207" w:lineRule="exact"/>
              <w:ind w:left="104"/>
              <w:rPr>
                <w:sz w:val="18"/>
                <w:szCs w:val="20"/>
              </w:rPr>
            </w:pPr>
            <w:r>
              <w:rPr>
                <w:sz w:val="18"/>
                <w:szCs w:val="20"/>
              </w:rPr>
              <w:t xml:space="preserve">Fuel Cost </w:t>
            </w:r>
            <w:r w:rsidR="00AD1331">
              <w:rPr>
                <w:sz w:val="18"/>
                <w:szCs w:val="20"/>
              </w:rPr>
              <w:t>Recovery</w:t>
            </w:r>
          </w:p>
        </w:tc>
        <w:tc>
          <w:tcPr>
            <w:tcW w:w="971" w:type="dxa"/>
            <w:gridSpan w:val="2"/>
          </w:tcPr>
          <w:p w14:paraId="40A697D1" w14:textId="77777777" w:rsidR="005A69A8" w:rsidRPr="00AB56BB" w:rsidRDefault="005A69A8" w:rsidP="006D7164">
            <w:pPr>
              <w:pStyle w:val="TableParagraph"/>
              <w:keepLines/>
              <w:widowControl/>
              <w:jc w:val="center"/>
              <w:rPr>
                <w:rFonts w:ascii="Times New Roman"/>
                <w:sz w:val="18"/>
                <w:szCs w:val="20"/>
              </w:rPr>
            </w:pPr>
          </w:p>
        </w:tc>
        <w:tc>
          <w:tcPr>
            <w:tcW w:w="3296" w:type="dxa"/>
          </w:tcPr>
          <w:p w14:paraId="521AF72E" w14:textId="77777777" w:rsidR="005A69A8" w:rsidRPr="073D5F75" w:rsidRDefault="005A69A8" w:rsidP="00754FD1">
            <w:pPr>
              <w:pStyle w:val="TableParagraph"/>
              <w:keepLines/>
              <w:widowControl/>
              <w:rPr>
                <w:rFonts w:ascii="Times New Roman"/>
                <w:sz w:val="18"/>
                <w:szCs w:val="18"/>
              </w:rPr>
            </w:pPr>
          </w:p>
        </w:tc>
        <w:tc>
          <w:tcPr>
            <w:tcW w:w="4534" w:type="dxa"/>
          </w:tcPr>
          <w:p w14:paraId="6F8979C6" w14:textId="77777777" w:rsidR="005A69A8" w:rsidRDefault="005A69A8" w:rsidP="00754FD1">
            <w:pPr>
              <w:pStyle w:val="TableParagraph"/>
              <w:keepLines/>
              <w:widowControl/>
              <w:rPr>
                <w:rFonts w:ascii="Times New Roman"/>
                <w:sz w:val="18"/>
                <w:szCs w:val="20"/>
              </w:rPr>
            </w:pPr>
          </w:p>
        </w:tc>
      </w:tr>
      <w:tr w:rsidR="00170B8D" w:rsidRPr="00AB56BB" w14:paraId="0128EF7A" w14:textId="77777777" w:rsidTr="2539CAE0">
        <w:tc>
          <w:tcPr>
            <w:tcW w:w="1945" w:type="dxa"/>
            <w:vMerge/>
            <w:vAlign w:val="center"/>
          </w:tcPr>
          <w:p w14:paraId="027CD6D6" w14:textId="74AD2FDF" w:rsidR="00170B8D" w:rsidRPr="00AB56BB" w:rsidRDefault="00170B8D" w:rsidP="00164208">
            <w:pPr>
              <w:pStyle w:val="TableParagraph"/>
              <w:keepLines/>
              <w:widowControl/>
              <w:spacing w:line="268" w:lineRule="auto"/>
              <w:ind w:left="60"/>
              <w:rPr>
                <w:b/>
                <w:sz w:val="18"/>
                <w:szCs w:val="20"/>
              </w:rPr>
            </w:pPr>
          </w:p>
        </w:tc>
        <w:tc>
          <w:tcPr>
            <w:tcW w:w="2217" w:type="dxa"/>
          </w:tcPr>
          <w:p w14:paraId="66BE56D8" w14:textId="0F7B5E51" w:rsidR="00170B8D" w:rsidRPr="00AB56BB" w:rsidRDefault="00170B8D" w:rsidP="00754FD1">
            <w:pPr>
              <w:pStyle w:val="TableParagraph"/>
              <w:keepLines/>
              <w:widowControl/>
              <w:spacing w:line="207" w:lineRule="exact"/>
              <w:ind w:left="104"/>
              <w:rPr>
                <w:sz w:val="18"/>
                <w:szCs w:val="20"/>
              </w:rPr>
            </w:pPr>
            <w:r>
              <w:rPr>
                <w:sz w:val="18"/>
                <w:szCs w:val="20"/>
              </w:rPr>
              <w:t>Purchased power</w:t>
            </w:r>
          </w:p>
        </w:tc>
        <w:tc>
          <w:tcPr>
            <w:tcW w:w="971" w:type="dxa"/>
            <w:gridSpan w:val="2"/>
          </w:tcPr>
          <w:p w14:paraId="2F169326" w14:textId="77777777" w:rsidR="00170B8D" w:rsidRPr="00AB56BB" w:rsidRDefault="00170B8D" w:rsidP="006D7164">
            <w:pPr>
              <w:pStyle w:val="TableParagraph"/>
              <w:keepLines/>
              <w:widowControl/>
              <w:jc w:val="center"/>
              <w:rPr>
                <w:rFonts w:ascii="Times New Roman"/>
                <w:sz w:val="18"/>
                <w:szCs w:val="20"/>
              </w:rPr>
            </w:pPr>
          </w:p>
        </w:tc>
        <w:tc>
          <w:tcPr>
            <w:tcW w:w="3296" w:type="dxa"/>
          </w:tcPr>
          <w:p w14:paraId="1017D892" w14:textId="4A25AACC" w:rsidR="00170B8D" w:rsidRPr="00AB56BB" w:rsidRDefault="00170B8D" w:rsidP="00754FD1">
            <w:pPr>
              <w:pStyle w:val="TableParagraph"/>
              <w:keepLines/>
              <w:widowControl/>
              <w:rPr>
                <w:rFonts w:ascii="Times New Roman"/>
                <w:sz w:val="18"/>
                <w:szCs w:val="18"/>
              </w:rPr>
            </w:pPr>
          </w:p>
        </w:tc>
        <w:tc>
          <w:tcPr>
            <w:tcW w:w="4534" w:type="dxa"/>
          </w:tcPr>
          <w:p w14:paraId="7DDC229D" w14:textId="2CB9CA56" w:rsidR="00170B8D" w:rsidRPr="00AB56BB" w:rsidRDefault="00170B8D" w:rsidP="00754FD1">
            <w:pPr>
              <w:pStyle w:val="TableParagraph"/>
              <w:keepLines/>
              <w:widowControl/>
              <w:rPr>
                <w:rFonts w:ascii="Times New Roman"/>
                <w:sz w:val="18"/>
                <w:szCs w:val="20"/>
              </w:rPr>
            </w:pPr>
          </w:p>
        </w:tc>
      </w:tr>
      <w:tr w:rsidR="00170B8D" w:rsidRPr="00AB56BB" w14:paraId="2ABB39F3" w14:textId="77777777" w:rsidTr="2539CAE0">
        <w:tc>
          <w:tcPr>
            <w:tcW w:w="1945" w:type="dxa"/>
            <w:vMerge/>
          </w:tcPr>
          <w:p w14:paraId="584D7B53" w14:textId="77777777" w:rsidR="00170B8D" w:rsidRDefault="00170B8D" w:rsidP="005448D6">
            <w:pPr>
              <w:pStyle w:val="TableParagraph"/>
              <w:keepLines/>
              <w:widowControl/>
              <w:spacing w:line="268" w:lineRule="auto"/>
              <w:ind w:left="60"/>
              <w:rPr>
                <w:b/>
                <w:spacing w:val="-2"/>
                <w:sz w:val="18"/>
                <w:szCs w:val="20"/>
              </w:rPr>
            </w:pPr>
          </w:p>
        </w:tc>
        <w:tc>
          <w:tcPr>
            <w:tcW w:w="2217" w:type="dxa"/>
          </w:tcPr>
          <w:p w14:paraId="2F8108CE" w14:textId="4D4A0B41" w:rsidR="00170B8D" w:rsidRDefault="00170B8D" w:rsidP="00754FD1">
            <w:pPr>
              <w:pStyle w:val="TableParagraph"/>
              <w:keepLines/>
              <w:widowControl/>
              <w:spacing w:line="207" w:lineRule="exact"/>
              <w:ind w:left="104"/>
              <w:rPr>
                <w:sz w:val="18"/>
                <w:szCs w:val="20"/>
              </w:rPr>
            </w:pPr>
            <w:r>
              <w:rPr>
                <w:sz w:val="18"/>
                <w:szCs w:val="20"/>
              </w:rPr>
              <w:t>Demand response program costs</w:t>
            </w:r>
          </w:p>
        </w:tc>
        <w:tc>
          <w:tcPr>
            <w:tcW w:w="971" w:type="dxa"/>
            <w:gridSpan w:val="2"/>
          </w:tcPr>
          <w:p w14:paraId="043B8A20" w14:textId="77777777" w:rsidR="00170B8D" w:rsidRPr="00AB56BB" w:rsidRDefault="00170B8D" w:rsidP="006D7164">
            <w:pPr>
              <w:pStyle w:val="TableParagraph"/>
              <w:keepLines/>
              <w:widowControl/>
              <w:jc w:val="center"/>
              <w:rPr>
                <w:rFonts w:ascii="Times New Roman"/>
                <w:sz w:val="18"/>
                <w:szCs w:val="20"/>
              </w:rPr>
            </w:pPr>
          </w:p>
        </w:tc>
        <w:tc>
          <w:tcPr>
            <w:tcW w:w="3296" w:type="dxa"/>
          </w:tcPr>
          <w:p w14:paraId="7B2EA571" w14:textId="77777777" w:rsidR="00170B8D" w:rsidRPr="00AB56BB" w:rsidRDefault="00170B8D" w:rsidP="00754FD1">
            <w:pPr>
              <w:pStyle w:val="TableParagraph"/>
              <w:keepLines/>
              <w:widowControl/>
              <w:rPr>
                <w:rFonts w:ascii="Times New Roman"/>
                <w:sz w:val="18"/>
                <w:szCs w:val="20"/>
              </w:rPr>
            </w:pPr>
          </w:p>
        </w:tc>
        <w:tc>
          <w:tcPr>
            <w:tcW w:w="4534" w:type="dxa"/>
          </w:tcPr>
          <w:p w14:paraId="478DEC9E" w14:textId="77777777" w:rsidR="00170B8D" w:rsidRPr="00AB56BB" w:rsidRDefault="00170B8D" w:rsidP="00754FD1">
            <w:pPr>
              <w:pStyle w:val="TableParagraph"/>
              <w:keepLines/>
              <w:widowControl/>
              <w:rPr>
                <w:rFonts w:ascii="Times New Roman"/>
                <w:sz w:val="18"/>
                <w:szCs w:val="20"/>
              </w:rPr>
            </w:pPr>
          </w:p>
        </w:tc>
      </w:tr>
      <w:tr w:rsidR="00B97E39" w:rsidRPr="00AB56BB" w14:paraId="1A57C391" w14:textId="77777777" w:rsidTr="2539CAE0">
        <w:tc>
          <w:tcPr>
            <w:tcW w:w="1945" w:type="dxa"/>
            <w:vMerge/>
          </w:tcPr>
          <w:p w14:paraId="6EAE6640" w14:textId="77777777" w:rsidR="00B97E39" w:rsidRDefault="00B97E39" w:rsidP="00B97E39">
            <w:pPr>
              <w:pStyle w:val="TableParagraph"/>
              <w:keepLines/>
              <w:widowControl/>
              <w:spacing w:line="268" w:lineRule="auto"/>
              <w:ind w:left="60"/>
              <w:rPr>
                <w:b/>
                <w:spacing w:val="-2"/>
                <w:sz w:val="18"/>
                <w:szCs w:val="20"/>
              </w:rPr>
            </w:pPr>
          </w:p>
        </w:tc>
        <w:tc>
          <w:tcPr>
            <w:tcW w:w="2217" w:type="dxa"/>
          </w:tcPr>
          <w:p w14:paraId="33959977" w14:textId="75DE3790" w:rsidR="00B97E39" w:rsidRDefault="00B97E39" w:rsidP="00B97E39">
            <w:pPr>
              <w:pStyle w:val="TableParagraph"/>
              <w:keepLines/>
              <w:widowControl/>
              <w:spacing w:line="207" w:lineRule="exact"/>
              <w:ind w:left="104"/>
              <w:rPr>
                <w:sz w:val="18"/>
                <w:szCs w:val="20"/>
              </w:rPr>
            </w:pPr>
            <w:r>
              <w:rPr>
                <w:sz w:val="18"/>
                <w:szCs w:val="20"/>
              </w:rPr>
              <w:t>RPS compliance costs</w:t>
            </w:r>
          </w:p>
        </w:tc>
        <w:tc>
          <w:tcPr>
            <w:tcW w:w="971" w:type="dxa"/>
            <w:gridSpan w:val="2"/>
          </w:tcPr>
          <w:p w14:paraId="0D2D3995" w14:textId="77777777" w:rsidR="00B97E39" w:rsidRPr="00AB56BB" w:rsidRDefault="00B97E39" w:rsidP="00B97E39">
            <w:pPr>
              <w:pStyle w:val="TableParagraph"/>
              <w:keepLines/>
              <w:widowControl/>
              <w:jc w:val="center"/>
              <w:rPr>
                <w:rFonts w:ascii="Times New Roman"/>
                <w:sz w:val="18"/>
                <w:szCs w:val="20"/>
              </w:rPr>
            </w:pPr>
          </w:p>
        </w:tc>
        <w:tc>
          <w:tcPr>
            <w:tcW w:w="3296" w:type="dxa"/>
          </w:tcPr>
          <w:p w14:paraId="1B06CA52" w14:textId="5F5D3E4E" w:rsidR="00B97E39" w:rsidRPr="00AB56BB" w:rsidRDefault="00B97E39" w:rsidP="00B97E39">
            <w:pPr>
              <w:pStyle w:val="TableParagraph"/>
              <w:keepLines/>
              <w:widowControl/>
              <w:rPr>
                <w:rFonts w:ascii="Times New Roman"/>
                <w:sz w:val="18"/>
                <w:szCs w:val="20"/>
              </w:rPr>
            </w:pPr>
          </w:p>
        </w:tc>
        <w:tc>
          <w:tcPr>
            <w:tcW w:w="4534" w:type="dxa"/>
          </w:tcPr>
          <w:p w14:paraId="6E8C6050" w14:textId="7A3B00D1" w:rsidR="00B97E39" w:rsidRPr="00AB56BB" w:rsidRDefault="00B97E39" w:rsidP="00B97E39">
            <w:pPr>
              <w:pStyle w:val="TableParagraph"/>
              <w:keepLines/>
              <w:widowControl/>
              <w:rPr>
                <w:rFonts w:ascii="Times New Roman"/>
                <w:sz w:val="18"/>
                <w:szCs w:val="18"/>
              </w:rPr>
            </w:pPr>
          </w:p>
        </w:tc>
      </w:tr>
      <w:tr w:rsidR="00B97E39" w:rsidRPr="00AB56BB" w14:paraId="5DB56EE8" w14:textId="77777777" w:rsidTr="2539CAE0">
        <w:tc>
          <w:tcPr>
            <w:tcW w:w="1945" w:type="dxa"/>
            <w:vMerge/>
          </w:tcPr>
          <w:p w14:paraId="33F657BC" w14:textId="77777777" w:rsidR="00B97E39" w:rsidRDefault="00B97E39" w:rsidP="00B97E39">
            <w:pPr>
              <w:pStyle w:val="TableParagraph"/>
              <w:keepLines/>
              <w:widowControl/>
              <w:spacing w:line="268" w:lineRule="auto"/>
              <w:ind w:left="60"/>
              <w:rPr>
                <w:b/>
                <w:spacing w:val="-2"/>
                <w:sz w:val="18"/>
                <w:szCs w:val="20"/>
              </w:rPr>
            </w:pPr>
          </w:p>
        </w:tc>
        <w:tc>
          <w:tcPr>
            <w:tcW w:w="2217" w:type="dxa"/>
          </w:tcPr>
          <w:p w14:paraId="0C909AC5" w14:textId="044418AD" w:rsidR="00B97E39" w:rsidRDefault="00B97E39" w:rsidP="00B97E39">
            <w:pPr>
              <w:pStyle w:val="TableParagraph"/>
              <w:keepLines/>
              <w:widowControl/>
              <w:spacing w:line="207" w:lineRule="exact"/>
              <w:ind w:left="104"/>
              <w:rPr>
                <w:sz w:val="18"/>
                <w:szCs w:val="20"/>
              </w:rPr>
            </w:pPr>
            <w:r>
              <w:rPr>
                <w:sz w:val="18"/>
                <w:szCs w:val="20"/>
              </w:rPr>
              <w:t>Broadband capacity extension</w:t>
            </w:r>
          </w:p>
        </w:tc>
        <w:tc>
          <w:tcPr>
            <w:tcW w:w="971" w:type="dxa"/>
            <w:gridSpan w:val="2"/>
          </w:tcPr>
          <w:p w14:paraId="228E3862" w14:textId="77777777" w:rsidR="00B97E39" w:rsidRPr="00AB56BB" w:rsidRDefault="00B97E39" w:rsidP="00B97E39">
            <w:pPr>
              <w:pStyle w:val="TableParagraph"/>
              <w:keepLines/>
              <w:widowControl/>
              <w:jc w:val="center"/>
              <w:rPr>
                <w:rFonts w:ascii="Times New Roman"/>
                <w:sz w:val="18"/>
                <w:szCs w:val="20"/>
              </w:rPr>
            </w:pPr>
          </w:p>
        </w:tc>
        <w:tc>
          <w:tcPr>
            <w:tcW w:w="3296" w:type="dxa"/>
          </w:tcPr>
          <w:p w14:paraId="4515BFA6" w14:textId="77777777" w:rsidR="00B97E39" w:rsidRPr="00AB56BB" w:rsidRDefault="00B97E39" w:rsidP="00B97E39">
            <w:pPr>
              <w:pStyle w:val="TableParagraph"/>
              <w:keepLines/>
              <w:widowControl/>
              <w:rPr>
                <w:rFonts w:ascii="Times New Roman"/>
                <w:sz w:val="18"/>
                <w:szCs w:val="20"/>
              </w:rPr>
            </w:pPr>
          </w:p>
        </w:tc>
        <w:tc>
          <w:tcPr>
            <w:tcW w:w="4534" w:type="dxa"/>
          </w:tcPr>
          <w:p w14:paraId="6E66180C" w14:textId="6E94194F" w:rsidR="00B97E39" w:rsidRPr="00AB56BB" w:rsidRDefault="00B97E39" w:rsidP="00B97E39">
            <w:pPr>
              <w:pStyle w:val="TableParagraph"/>
              <w:keepLines/>
              <w:widowControl/>
              <w:rPr>
                <w:rFonts w:ascii="Times New Roman"/>
                <w:sz w:val="18"/>
                <w:szCs w:val="18"/>
              </w:rPr>
            </w:pPr>
          </w:p>
        </w:tc>
      </w:tr>
      <w:tr w:rsidR="00B97E39" w:rsidRPr="00AB56BB" w14:paraId="2FAA517C" w14:textId="77777777" w:rsidTr="2539CAE0">
        <w:tc>
          <w:tcPr>
            <w:tcW w:w="1945" w:type="dxa"/>
            <w:vMerge/>
          </w:tcPr>
          <w:p w14:paraId="0B71937D" w14:textId="77777777" w:rsidR="00B97E39" w:rsidRDefault="00B97E39" w:rsidP="00B97E39">
            <w:pPr>
              <w:pStyle w:val="TableParagraph"/>
              <w:keepLines/>
              <w:widowControl/>
              <w:spacing w:line="268" w:lineRule="auto"/>
              <w:ind w:left="60"/>
              <w:rPr>
                <w:b/>
                <w:spacing w:val="-2"/>
                <w:sz w:val="18"/>
                <w:szCs w:val="20"/>
              </w:rPr>
            </w:pPr>
          </w:p>
        </w:tc>
        <w:tc>
          <w:tcPr>
            <w:tcW w:w="2217" w:type="dxa"/>
          </w:tcPr>
          <w:p w14:paraId="1F33C6C1" w14:textId="0653DDEC" w:rsidR="00B97E39" w:rsidRDefault="00B97E39" w:rsidP="00B97E39">
            <w:pPr>
              <w:pStyle w:val="TableParagraph"/>
              <w:keepLines/>
              <w:widowControl/>
              <w:spacing w:line="207" w:lineRule="exact"/>
              <w:ind w:left="104"/>
              <w:rPr>
                <w:sz w:val="18"/>
                <w:szCs w:val="20"/>
              </w:rPr>
            </w:pPr>
            <w:r>
              <w:rPr>
                <w:sz w:val="18"/>
                <w:szCs w:val="20"/>
              </w:rPr>
              <w:t>Low-income programs (lost revenue recovery)</w:t>
            </w:r>
          </w:p>
        </w:tc>
        <w:tc>
          <w:tcPr>
            <w:tcW w:w="971" w:type="dxa"/>
            <w:gridSpan w:val="2"/>
          </w:tcPr>
          <w:p w14:paraId="205C9143" w14:textId="77777777" w:rsidR="00B97E39" w:rsidRPr="00AB56BB" w:rsidRDefault="00B97E39" w:rsidP="00B97E39">
            <w:pPr>
              <w:pStyle w:val="TableParagraph"/>
              <w:keepLines/>
              <w:widowControl/>
              <w:jc w:val="center"/>
              <w:rPr>
                <w:rFonts w:ascii="Times New Roman"/>
                <w:sz w:val="18"/>
                <w:szCs w:val="20"/>
              </w:rPr>
            </w:pPr>
          </w:p>
        </w:tc>
        <w:tc>
          <w:tcPr>
            <w:tcW w:w="3296" w:type="dxa"/>
          </w:tcPr>
          <w:p w14:paraId="1A3D8531" w14:textId="77777777" w:rsidR="00B97E39" w:rsidRPr="00AB56BB" w:rsidRDefault="00B97E39" w:rsidP="00B97E39">
            <w:pPr>
              <w:pStyle w:val="TableParagraph"/>
              <w:keepLines/>
              <w:widowControl/>
              <w:rPr>
                <w:rFonts w:ascii="Times New Roman"/>
                <w:sz w:val="18"/>
                <w:szCs w:val="20"/>
              </w:rPr>
            </w:pPr>
          </w:p>
        </w:tc>
        <w:tc>
          <w:tcPr>
            <w:tcW w:w="4534" w:type="dxa"/>
          </w:tcPr>
          <w:p w14:paraId="452B7813" w14:textId="55DD5285" w:rsidR="00B97E39" w:rsidRPr="00AB56BB" w:rsidRDefault="00B97E39" w:rsidP="00B97E39">
            <w:pPr>
              <w:pStyle w:val="TableParagraph"/>
              <w:keepLines/>
              <w:widowControl/>
              <w:rPr>
                <w:rFonts w:ascii="Times New Roman"/>
                <w:sz w:val="18"/>
                <w:szCs w:val="18"/>
              </w:rPr>
            </w:pPr>
          </w:p>
        </w:tc>
      </w:tr>
      <w:tr w:rsidR="00B97E39" w:rsidRPr="00AB56BB" w14:paraId="32332293" w14:textId="77777777" w:rsidTr="2539CAE0">
        <w:tc>
          <w:tcPr>
            <w:tcW w:w="1945" w:type="dxa"/>
            <w:vMerge/>
          </w:tcPr>
          <w:p w14:paraId="3404E10F" w14:textId="77777777" w:rsidR="00B97E39" w:rsidRDefault="00B97E39" w:rsidP="00B97E39">
            <w:pPr>
              <w:pStyle w:val="TableParagraph"/>
              <w:keepLines/>
              <w:widowControl/>
              <w:spacing w:line="268" w:lineRule="auto"/>
              <w:ind w:left="60"/>
              <w:rPr>
                <w:b/>
                <w:spacing w:val="-2"/>
                <w:sz w:val="18"/>
                <w:szCs w:val="20"/>
              </w:rPr>
            </w:pPr>
          </w:p>
        </w:tc>
        <w:tc>
          <w:tcPr>
            <w:tcW w:w="2217" w:type="dxa"/>
          </w:tcPr>
          <w:p w14:paraId="3A3ABC37" w14:textId="3663E1AB" w:rsidR="00B97E39" w:rsidRDefault="00B97E39" w:rsidP="00B97E39">
            <w:pPr>
              <w:pStyle w:val="TableParagraph"/>
              <w:keepLines/>
              <w:widowControl/>
              <w:spacing w:line="207" w:lineRule="exact"/>
              <w:ind w:left="104"/>
              <w:rPr>
                <w:sz w:val="18"/>
                <w:szCs w:val="20"/>
              </w:rPr>
            </w:pPr>
            <w:r>
              <w:rPr>
                <w:sz w:val="18"/>
                <w:szCs w:val="20"/>
              </w:rPr>
              <w:t xml:space="preserve">Capital projects (e.g., combined cycle gas projects, offshore wind, solar, distribution system undergrounding, distribution grid </w:t>
            </w:r>
            <w:r>
              <w:rPr>
                <w:sz w:val="18"/>
                <w:szCs w:val="20"/>
              </w:rPr>
              <w:lastRenderedPageBreak/>
              <w:t>transformation, nuclear life extension, etc.)</w:t>
            </w:r>
          </w:p>
        </w:tc>
        <w:tc>
          <w:tcPr>
            <w:tcW w:w="971" w:type="dxa"/>
            <w:gridSpan w:val="2"/>
          </w:tcPr>
          <w:p w14:paraId="7A53538F" w14:textId="77777777" w:rsidR="00B97E39" w:rsidRPr="00AB56BB" w:rsidRDefault="00B97E39" w:rsidP="00B97E39">
            <w:pPr>
              <w:pStyle w:val="TableParagraph"/>
              <w:keepLines/>
              <w:widowControl/>
              <w:jc w:val="center"/>
              <w:rPr>
                <w:rFonts w:ascii="Times New Roman"/>
                <w:sz w:val="18"/>
                <w:szCs w:val="20"/>
              </w:rPr>
            </w:pPr>
          </w:p>
        </w:tc>
        <w:tc>
          <w:tcPr>
            <w:tcW w:w="3296" w:type="dxa"/>
          </w:tcPr>
          <w:p w14:paraId="69B97D06" w14:textId="77777777" w:rsidR="00B97E39" w:rsidRPr="00AB56BB" w:rsidRDefault="00B97E39" w:rsidP="00B97E39">
            <w:pPr>
              <w:pStyle w:val="TableParagraph"/>
              <w:keepLines/>
              <w:widowControl/>
              <w:rPr>
                <w:rFonts w:ascii="Times New Roman"/>
                <w:sz w:val="18"/>
                <w:szCs w:val="20"/>
              </w:rPr>
            </w:pPr>
          </w:p>
        </w:tc>
        <w:tc>
          <w:tcPr>
            <w:tcW w:w="4534" w:type="dxa"/>
          </w:tcPr>
          <w:p w14:paraId="0BFE3490" w14:textId="38A02EC4" w:rsidR="00B97E39" w:rsidRPr="00AB56BB" w:rsidRDefault="00B97E39" w:rsidP="00B97E39">
            <w:pPr>
              <w:pStyle w:val="TableParagraph"/>
              <w:keepLines/>
              <w:widowControl/>
              <w:rPr>
                <w:rFonts w:ascii="Times New Roman"/>
                <w:sz w:val="18"/>
                <w:szCs w:val="20"/>
              </w:rPr>
            </w:pPr>
          </w:p>
        </w:tc>
      </w:tr>
      <w:tr w:rsidR="00B97E39" w:rsidRPr="00AB56BB" w14:paraId="616226A1" w14:textId="77777777" w:rsidTr="2539CAE0">
        <w:trPr>
          <w:trHeight w:val="680"/>
        </w:trPr>
        <w:tc>
          <w:tcPr>
            <w:tcW w:w="1945" w:type="dxa"/>
            <w:vMerge w:val="restart"/>
            <w:tcBorders>
              <w:top w:val="dashed" w:sz="4" w:space="0" w:color="auto"/>
            </w:tcBorders>
          </w:tcPr>
          <w:p w14:paraId="3ABE4385" w14:textId="45FA3D29" w:rsidR="00B97E39" w:rsidRDefault="00B97E39" w:rsidP="00B97E39">
            <w:pPr>
              <w:pStyle w:val="TableParagraph"/>
              <w:keepLines/>
              <w:widowControl/>
              <w:spacing w:line="268" w:lineRule="auto"/>
              <w:ind w:left="60"/>
              <w:rPr>
                <w:b/>
                <w:spacing w:val="-2"/>
                <w:sz w:val="18"/>
                <w:szCs w:val="20"/>
              </w:rPr>
            </w:pPr>
            <w:r w:rsidRPr="00D674FC">
              <w:rPr>
                <w:b/>
                <w:bCs/>
                <w:sz w:val="18"/>
                <w:szCs w:val="20"/>
              </w:rPr>
              <w:t>Other trackers</w:t>
            </w:r>
            <w:r>
              <w:rPr>
                <w:sz w:val="18"/>
                <w:szCs w:val="20"/>
              </w:rPr>
              <w:t xml:space="preserve"> (user choice to select additional trackers used in Virginia rate making for attention)</w:t>
            </w:r>
          </w:p>
        </w:tc>
        <w:tc>
          <w:tcPr>
            <w:tcW w:w="2217" w:type="dxa"/>
          </w:tcPr>
          <w:p w14:paraId="30310C20" w14:textId="77777777" w:rsidR="00B97E39" w:rsidRDefault="00B97E39" w:rsidP="00B97E39">
            <w:pPr>
              <w:pStyle w:val="TableParagraph"/>
              <w:keepLines/>
              <w:widowControl/>
              <w:spacing w:line="207" w:lineRule="exact"/>
              <w:ind w:left="180"/>
              <w:rPr>
                <w:sz w:val="18"/>
                <w:szCs w:val="20"/>
              </w:rPr>
            </w:pPr>
          </w:p>
        </w:tc>
        <w:tc>
          <w:tcPr>
            <w:tcW w:w="971" w:type="dxa"/>
            <w:gridSpan w:val="2"/>
          </w:tcPr>
          <w:p w14:paraId="64AAF40D" w14:textId="77777777" w:rsidR="00B97E39" w:rsidRPr="00AB56BB" w:rsidRDefault="00B97E39" w:rsidP="00B97E39">
            <w:pPr>
              <w:pStyle w:val="TableParagraph"/>
              <w:keepLines/>
              <w:widowControl/>
              <w:jc w:val="center"/>
              <w:rPr>
                <w:rFonts w:ascii="Times New Roman"/>
                <w:sz w:val="18"/>
                <w:szCs w:val="20"/>
              </w:rPr>
            </w:pPr>
          </w:p>
        </w:tc>
        <w:tc>
          <w:tcPr>
            <w:tcW w:w="3296" w:type="dxa"/>
          </w:tcPr>
          <w:p w14:paraId="0D617B0E" w14:textId="77777777" w:rsidR="00B97E39" w:rsidRPr="00AB56BB" w:rsidRDefault="00B97E39" w:rsidP="00B97E39">
            <w:pPr>
              <w:pStyle w:val="TableParagraph"/>
              <w:keepLines/>
              <w:widowControl/>
              <w:rPr>
                <w:rFonts w:ascii="Times New Roman"/>
                <w:sz w:val="18"/>
                <w:szCs w:val="20"/>
              </w:rPr>
            </w:pPr>
          </w:p>
        </w:tc>
        <w:tc>
          <w:tcPr>
            <w:tcW w:w="4534" w:type="dxa"/>
          </w:tcPr>
          <w:p w14:paraId="6FBA83E0" w14:textId="77777777" w:rsidR="00B97E39" w:rsidRPr="00AB56BB" w:rsidRDefault="00B97E39" w:rsidP="00B97E39">
            <w:pPr>
              <w:pStyle w:val="TableParagraph"/>
              <w:keepLines/>
              <w:widowControl/>
              <w:rPr>
                <w:rFonts w:ascii="Times New Roman"/>
                <w:sz w:val="18"/>
                <w:szCs w:val="20"/>
              </w:rPr>
            </w:pPr>
          </w:p>
        </w:tc>
      </w:tr>
      <w:tr w:rsidR="00B97E39" w:rsidRPr="00AB56BB" w14:paraId="1853A5E2" w14:textId="77777777" w:rsidTr="2539CAE0">
        <w:tc>
          <w:tcPr>
            <w:tcW w:w="1945" w:type="dxa"/>
            <w:vMerge/>
          </w:tcPr>
          <w:p w14:paraId="7A3C70CC" w14:textId="77777777" w:rsidR="00B97E39" w:rsidRDefault="00B97E39" w:rsidP="00B97E39">
            <w:pPr>
              <w:pStyle w:val="TableParagraph"/>
              <w:keepLines/>
              <w:widowControl/>
              <w:spacing w:line="268" w:lineRule="auto"/>
              <w:ind w:left="60"/>
              <w:rPr>
                <w:b/>
                <w:spacing w:val="-2"/>
                <w:sz w:val="18"/>
                <w:szCs w:val="20"/>
              </w:rPr>
            </w:pPr>
          </w:p>
        </w:tc>
        <w:tc>
          <w:tcPr>
            <w:tcW w:w="2217" w:type="dxa"/>
          </w:tcPr>
          <w:p w14:paraId="7BC04E72" w14:textId="77777777" w:rsidR="00B97E39" w:rsidRDefault="00B97E39" w:rsidP="00B97E39">
            <w:pPr>
              <w:pStyle w:val="TableParagraph"/>
              <w:keepLines/>
              <w:widowControl/>
              <w:spacing w:line="207" w:lineRule="exact"/>
              <w:ind w:left="180"/>
              <w:rPr>
                <w:sz w:val="18"/>
                <w:szCs w:val="20"/>
              </w:rPr>
            </w:pPr>
          </w:p>
        </w:tc>
        <w:tc>
          <w:tcPr>
            <w:tcW w:w="971" w:type="dxa"/>
            <w:gridSpan w:val="2"/>
          </w:tcPr>
          <w:p w14:paraId="1B8E73DC" w14:textId="77777777" w:rsidR="00B97E39" w:rsidRPr="00AB56BB" w:rsidRDefault="00B97E39" w:rsidP="00B97E39">
            <w:pPr>
              <w:pStyle w:val="TableParagraph"/>
              <w:keepLines/>
              <w:widowControl/>
              <w:jc w:val="center"/>
              <w:rPr>
                <w:rFonts w:ascii="Times New Roman"/>
                <w:sz w:val="18"/>
                <w:szCs w:val="20"/>
              </w:rPr>
            </w:pPr>
          </w:p>
        </w:tc>
        <w:tc>
          <w:tcPr>
            <w:tcW w:w="3296" w:type="dxa"/>
          </w:tcPr>
          <w:p w14:paraId="42FF8FEB" w14:textId="77777777" w:rsidR="00B97E39" w:rsidRPr="00AB56BB" w:rsidRDefault="00B97E39" w:rsidP="00B97E39">
            <w:pPr>
              <w:pStyle w:val="TableParagraph"/>
              <w:keepLines/>
              <w:widowControl/>
              <w:rPr>
                <w:rFonts w:ascii="Times New Roman"/>
                <w:sz w:val="18"/>
                <w:szCs w:val="20"/>
              </w:rPr>
            </w:pPr>
          </w:p>
        </w:tc>
        <w:tc>
          <w:tcPr>
            <w:tcW w:w="4534" w:type="dxa"/>
          </w:tcPr>
          <w:p w14:paraId="614111C5" w14:textId="77777777" w:rsidR="00B97E39" w:rsidRPr="00AB56BB" w:rsidRDefault="00B97E39" w:rsidP="00B97E39">
            <w:pPr>
              <w:pStyle w:val="TableParagraph"/>
              <w:keepLines/>
              <w:widowControl/>
              <w:rPr>
                <w:rFonts w:ascii="Times New Roman"/>
                <w:sz w:val="18"/>
                <w:szCs w:val="20"/>
              </w:rPr>
            </w:pPr>
          </w:p>
        </w:tc>
      </w:tr>
      <w:tr w:rsidR="00B97E39" w:rsidRPr="00AB56BB" w14:paraId="41F8BC61" w14:textId="77777777" w:rsidTr="2539CAE0">
        <w:tc>
          <w:tcPr>
            <w:tcW w:w="1945" w:type="dxa"/>
          </w:tcPr>
          <w:p w14:paraId="6EC225F6" w14:textId="5B253493" w:rsidR="00B97E39" w:rsidRDefault="00B97E39" w:rsidP="00B97E39">
            <w:pPr>
              <w:pStyle w:val="TableParagraph"/>
              <w:keepLines/>
              <w:widowControl/>
              <w:spacing w:line="268" w:lineRule="auto"/>
              <w:ind w:left="60"/>
              <w:rPr>
                <w:b/>
                <w:spacing w:val="-2"/>
                <w:sz w:val="18"/>
                <w:szCs w:val="20"/>
              </w:rPr>
            </w:pPr>
            <w:r>
              <w:rPr>
                <w:b/>
                <w:spacing w:val="-2"/>
                <w:sz w:val="18"/>
                <w:szCs w:val="20"/>
              </w:rPr>
              <w:t>Transmission cost recovery (FERC formula rates)</w:t>
            </w:r>
          </w:p>
        </w:tc>
        <w:tc>
          <w:tcPr>
            <w:tcW w:w="2217" w:type="dxa"/>
          </w:tcPr>
          <w:p w14:paraId="29372FED" w14:textId="42D234CA" w:rsidR="00B97E39" w:rsidRDefault="00B97E39" w:rsidP="00B97E39">
            <w:pPr>
              <w:pStyle w:val="TableParagraph"/>
              <w:keepLines/>
              <w:widowControl/>
              <w:spacing w:line="207" w:lineRule="exact"/>
              <w:ind w:left="90"/>
              <w:rPr>
                <w:sz w:val="18"/>
                <w:szCs w:val="20"/>
              </w:rPr>
            </w:pPr>
            <w:r>
              <w:rPr>
                <w:sz w:val="18"/>
                <w:szCs w:val="20"/>
              </w:rPr>
              <w:t>Transmission costs as allocated in FERC formula rates, recovered from customers via trackers (RACs) and/or base rates</w:t>
            </w:r>
          </w:p>
        </w:tc>
        <w:tc>
          <w:tcPr>
            <w:tcW w:w="971" w:type="dxa"/>
            <w:gridSpan w:val="2"/>
          </w:tcPr>
          <w:p w14:paraId="45365DC1" w14:textId="77777777" w:rsidR="00B97E39" w:rsidRPr="00AB56BB" w:rsidRDefault="00B97E39" w:rsidP="00B97E39">
            <w:pPr>
              <w:pStyle w:val="TableParagraph"/>
              <w:keepLines/>
              <w:widowControl/>
              <w:jc w:val="center"/>
              <w:rPr>
                <w:rFonts w:ascii="Times New Roman"/>
                <w:sz w:val="18"/>
                <w:szCs w:val="20"/>
              </w:rPr>
            </w:pPr>
          </w:p>
        </w:tc>
        <w:tc>
          <w:tcPr>
            <w:tcW w:w="3296" w:type="dxa"/>
          </w:tcPr>
          <w:p w14:paraId="51B799F7" w14:textId="77777777" w:rsidR="00B97E39" w:rsidRPr="00AB56BB" w:rsidRDefault="00B97E39" w:rsidP="00B97E39">
            <w:pPr>
              <w:pStyle w:val="TableParagraph"/>
              <w:keepLines/>
              <w:widowControl/>
              <w:rPr>
                <w:rFonts w:ascii="Times New Roman"/>
                <w:sz w:val="18"/>
                <w:szCs w:val="20"/>
              </w:rPr>
            </w:pPr>
          </w:p>
        </w:tc>
        <w:tc>
          <w:tcPr>
            <w:tcW w:w="4534" w:type="dxa"/>
          </w:tcPr>
          <w:p w14:paraId="0B9A854E" w14:textId="77777777" w:rsidR="00B97E39" w:rsidRPr="00AB56BB" w:rsidRDefault="00B97E39" w:rsidP="00B97E39">
            <w:pPr>
              <w:pStyle w:val="TableParagraph"/>
              <w:keepLines/>
              <w:widowControl/>
              <w:rPr>
                <w:rFonts w:ascii="Times New Roman"/>
                <w:sz w:val="18"/>
                <w:szCs w:val="20"/>
              </w:rPr>
            </w:pPr>
          </w:p>
        </w:tc>
      </w:tr>
      <w:tr w:rsidR="00B97E39" w:rsidRPr="00AB56BB" w14:paraId="7DD1FE9E" w14:textId="77777777" w:rsidTr="2539CAE0">
        <w:tc>
          <w:tcPr>
            <w:tcW w:w="1945" w:type="dxa"/>
            <w:vMerge w:val="restart"/>
            <w:vAlign w:val="center"/>
          </w:tcPr>
          <w:p w14:paraId="590187A1" w14:textId="48CE5B90" w:rsidR="00B97E39" w:rsidRDefault="00B97E39" w:rsidP="00B97E39">
            <w:pPr>
              <w:pStyle w:val="TableParagraph"/>
              <w:keepLines/>
              <w:widowControl/>
              <w:spacing w:line="268" w:lineRule="auto"/>
              <w:ind w:left="60"/>
              <w:rPr>
                <w:b/>
                <w:spacing w:val="-2"/>
                <w:sz w:val="18"/>
                <w:szCs w:val="20"/>
              </w:rPr>
            </w:pPr>
            <w:r>
              <w:rPr>
                <w:b/>
                <w:spacing w:val="-2"/>
                <w:sz w:val="18"/>
                <w:szCs w:val="20"/>
              </w:rPr>
              <w:t>Performance adjustments and measurement</w:t>
            </w:r>
          </w:p>
        </w:tc>
        <w:tc>
          <w:tcPr>
            <w:tcW w:w="2217" w:type="dxa"/>
          </w:tcPr>
          <w:p w14:paraId="2ABD08DA" w14:textId="5A5DFA13" w:rsidR="00B97E39" w:rsidRDefault="00B97E39" w:rsidP="00B97E39">
            <w:pPr>
              <w:pStyle w:val="TableParagraph"/>
              <w:keepLines/>
              <w:widowControl/>
              <w:spacing w:line="207" w:lineRule="exact"/>
              <w:ind w:left="104"/>
              <w:rPr>
                <w:sz w:val="18"/>
                <w:szCs w:val="20"/>
              </w:rPr>
            </w:pPr>
            <w:r>
              <w:rPr>
                <w:sz w:val="18"/>
                <w:szCs w:val="20"/>
              </w:rPr>
              <w:t>ROE adjustment mechanisms</w:t>
            </w:r>
          </w:p>
        </w:tc>
        <w:tc>
          <w:tcPr>
            <w:tcW w:w="971" w:type="dxa"/>
            <w:gridSpan w:val="2"/>
          </w:tcPr>
          <w:p w14:paraId="3109531C" w14:textId="77777777" w:rsidR="00B97E39" w:rsidRPr="00AB56BB" w:rsidRDefault="00B97E39" w:rsidP="00B97E39">
            <w:pPr>
              <w:pStyle w:val="TableParagraph"/>
              <w:keepLines/>
              <w:widowControl/>
              <w:jc w:val="center"/>
              <w:rPr>
                <w:rFonts w:ascii="Times New Roman"/>
                <w:sz w:val="18"/>
                <w:szCs w:val="20"/>
              </w:rPr>
            </w:pPr>
          </w:p>
        </w:tc>
        <w:tc>
          <w:tcPr>
            <w:tcW w:w="3296" w:type="dxa"/>
          </w:tcPr>
          <w:p w14:paraId="4DC630B0" w14:textId="77777777" w:rsidR="00B97E39" w:rsidRPr="00AB56BB" w:rsidRDefault="00B97E39" w:rsidP="00B97E39">
            <w:pPr>
              <w:pStyle w:val="TableParagraph"/>
              <w:keepLines/>
              <w:widowControl/>
              <w:rPr>
                <w:rFonts w:ascii="Times New Roman"/>
                <w:sz w:val="18"/>
                <w:szCs w:val="20"/>
              </w:rPr>
            </w:pPr>
          </w:p>
        </w:tc>
        <w:tc>
          <w:tcPr>
            <w:tcW w:w="4534" w:type="dxa"/>
          </w:tcPr>
          <w:p w14:paraId="4746AFC5" w14:textId="77777777" w:rsidR="00B97E39" w:rsidRPr="00AB56BB" w:rsidRDefault="00B97E39" w:rsidP="00B97E39">
            <w:pPr>
              <w:pStyle w:val="TableParagraph"/>
              <w:keepLines/>
              <w:widowControl/>
              <w:rPr>
                <w:rFonts w:ascii="Times New Roman"/>
                <w:sz w:val="18"/>
                <w:szCs w:val="20"/>
              </w:rPr>
            </w:pPr>
          </w:p>
        </w:tc>
      </w:tr>
      <w:tr w:rsidR="00B97E39" w:rsidRPr="00AB56BB" w14:paraId="1471EFFC" w14:textId="77777777" w:rsidTr="2539CAE0">
        <w:tc>
          <w:tcPr>
            <w:tcW w:w="1945" w:type="dxa"/>
            <w:vMerge/>
          </w:tcPr>
          <w:p w14:paraId="793746CD" w14:textId="77777777" w:rsidR="00B97E39" w:rsidRDefault="00B97E39" w:rsidP="00B97E39">
            <w:pPr>
              <w:pStyle w:val="TableParagraph"/>
              <w:keepLines/>
              <w:widowControl/>
              <w:spacing w:line="268" w:lineRule="auto"/>
              <w:ind w:left="60"/>
              <w:rPr>
                <w:b/>
                <w:spacing w:val="-2"/>
                <w:sz w:val="18"/>
                <w:szCs w:val="20"/>
              </w:rPr>
            </w:pPr>
          </w:p>
        </w:tc>
        <w:tc>
          <w:tcPr>
            <w:tcW w:w="2217" w:type="dxa"/>
          </w:tcPr>
          <w:p w14:paraId="58A41A03" w14:textId="68B4CA94" w:rsidR="00B97E39" w:rsidRDefault="00B97E39" w:rsidP="00B97E39">
            <w:pPr>
              <w:pStyle w:val="TableParagraph"/>
              <w:keepLines/>
              <w:widowControl/>
              <w:spacing w:line="207" w:lineRule="exact"/>
              <w:ind w:left="104"/>
              <w:rPr>
                <w:sz w:val="18"/>
                <w:szCs w:val="20"/>
              </w:rPr>
            </w:pPr>
            <w:r w:rsidRPr="00170B8D">
              <w:rPr>
                <w:sz w:val="18"/>
                <w:szCs w:val="20"/>
              </w:rPr>
              <w:t>Energy efficiency savings target (ROE adder applied to DSN operating expenses)</w:t>
            </w:r>
          </w:p>
        </w:tc>
        <w:tc>
          <w:tcPr>
            <w:tcW w:w="971" w:type="dxa"/>
            <w:gridSpan w:val="2"/>
          </w:tcPr>
          <w:p w14:paraId="2A86C287" w14:textId="25690832" w:rsidR="00B97E39" w:rsidRPr="00AB56BB" w:rsidRDefault="00A650BC" w:rsidP="00B97E39">
            <w:pPr>
              <w:pStyle w:val="TableParagraph"/>
              <w:keepLines/>
              <w:widowControl/>
              <w:jc w:val="center"/>
              <w:rPr>
                <w:rFonts w:ascii="Times New Roman"/>
                <w:sz w:val="18"/>
                <w:szCs w:val="20"/>
              </w:rPr>
            </w:pPr>
            <w:r>
              <w:rPr>
                <w:rFonts w:ascii="Times New Roman"/>
                <w:sz w:val="18"/>
                <w:szCs w:val="20"/>
              </w:rPr>
              <w:t>0</w:t>
            </w:r>
          </w:p>
        </w:tc>
        <w:tc>
          <w:tcPr>
            <w:tcW w:w="3296" w:type="dxa"/>
          </w:tcPr>
          <w:p w14:paraId="0EE17BEE" w14:textId="6D77A01E" w:rsidR="00B97E39" w:rsidRPr="00AB56BB" w:rsidRDefault="00BF1962" w:rsidP="00B97E39">
            <w:pPr>
              <w:pStyle w:val="TableParagraph"/>
              <w:keepLines/>
              <w:widowControl/>
              <w:rPr>
                <w:rFonts w:ascii="Times New Roman"/>
                <w:sz w:val="18"/>
                <w:szCs w:val="20"/>
              </w:rPr>
            </w:pPr>
            <w:r>
              <w:rPr>
                <w:rFonts w:ascii="Times New Roman"/>
                <w:sz w:val="18"/>
                <w:szCs w:val="20"/>
              </w:rPr>
              <w:t xml:space="preserve">The current construct does not appear to incent achievement or </w:t>
            </w:r>
            <w:r w:rsidR="006A199A">
              <w:rPr>
                <w:rFonts w:ascii="Times New Roman"/>
                <w:sz w:val="18"/>
                <w:szCs w:val="20"/>
              </w:rPr>
              <w:t>overachieveme</w:t>
            </w:r>
            <w:r w:rsidR="00C72C21">
              <w:rPr>
                <w:rFonts w:ascii="Times New Roman"/>
                <w:sz w:val="18"/>
                <w:szCs w:val="20"/>
              </w:rPr>
              <w:t>nt for all utilities in Virginia</w:t>
            </w:r>
            <w:r w:rsidR="00A62065">
              <w:rPr>
                <w:rFonts w:ascii="Times New Roman"/>
                <w:sz w:val="18"/>
                <w:szCs w:val="20"/>
              </w:rPr>
              <w:t>.</w:t>
            </w:r>
            <w:r w:rsidR="00A650BC">
              <w:rPr>
                <w:rFonts w:ascii="Times New Roman"/>
                <w:sz w:val="18"/>
                <w:szCs w:val="20"/>
              </w:rPr>
              <w:t xml:space="preserve"> </w:t>
            </w:r>
          </w:p>
        </w:tc>
        <w:tc>
          <w:tcPr>
            <w:tcW w:w="4534" w:type="dxa"/>
          </w:tcPr>
          <w:p w14:paraId="7B5C067D" w14:textId="4DCB3FAF" w:rsidR="00B97E39" w:rsidRPr="00AB56BB" w:rsidRDefault="00B97E39" w:rsidP="00B97E39">
            <w:pPr>
              <w:pStyle w:val="TableParagraph"/>
              <w:keepLines/>
              <w:widowControl/>
              <w:rPr>
                <w:rFonts w:ascii="Times New Roman"/>
                <w:sz w:val="18"/>
                <w:szCs w:val="20"/>
              </w:rPr>
            </w:pPr>
            <w:r>
              <w:rPr>
                <w:rFonts w:ascii="Times New Roman"/>
                <w:sz w:val="18"/>
                <w:szCs w:val="20"/>
              </w:rPr>
              <w:t xml:space="preserve"> </w:t>
            </w:r>
            <w:r w:rsidR="00A650BC">
              <w:rPr>
                <w:rFonts w:ascii="Times New Roman"/>
                <w:sz w:val="18"/>
                <w:szCs w:val="20"/>
              </w:rPr>
              <w:t xml:space="preserve">Understanding </w:t>
            </w:r>
            <w:r w:rsidR="003779D7">
              <w:rPr>
                <w:rFonts w:ascii="Times New Roman"/>
                <w:sz w:val="18"/>
                <w:szCs w:val="20"/>
              </w:rPr>
              <w:t xml:space="preserve">what would </w:t>
            </w:r>
            <w:r w:rsidR="00211513">
              <w:rPr>
                <w:rFonts w:ascii="Times New Roman"/>
                <w:sz w:val="18"/>
                <w:szCs w:val="20"/>
              </w:rPr>
              <w:t>incent</w:t>
            </w:r>
            <w:r w:rsidR="003779D7">
              <w:rPr>
                <w:rFonts w:ascii="Times New Roman"/>
                <w:sz w:val="18"/>
                <w:szCs w:val="20"/>
              </w:rPr>
              <w:t xml:space="preserve"> commitment here</w:t>
            </w:r>
            <w:r w:rsidR="00F2539F">
              <w:rPr>
                <w:rFonts w:ascii="Times New Roman"/>
                <w:sz w:val="18"/>
                <w:szCs w:val="20"/>
              </w:rPr>
              <w:t xml:space="preserve"> (and elsewhere)</w:t>
            </w:r>
            <w:r w:rsidR="003779D7">
              <w:rPr>
                <w:rFonts w:ascii="Times New Roman"/>
                <w:sz w:val="18"/>
                <w:szCs w:val="20"/>
              </w:rPr>
              <w:t xml:space="preserve"> </w:t>
            </w:r>
            <w:r w:rsidR="00FB140A">
              <w:rPr>
                <w:rFonts w:ascii="Times New Roman"/>
                <w:sz w:val="18"/>
                <w:szCs w:val="20"/>
              </w:rPr>
              <w:t>would be important to informing any adjustments made to this mechanism</w:t>
            </w:r>
            <w:r w:rsidR="00F318DE">
              <w:rPr>
                <w:rFonts w:ascii="Times New Roman"/>
                <w:sz w:val="18"/>
                <w:szCs w:val="20"/>
              </w:rPr>
              <w:t>.</w:t>
            </w:r>
          </w:p>
        </w:tc>
      </w:tr>
      <w:tr w:rsidR="00B97E39" w:rsidRPr="00AB56BB" w14:paraId="60AB1906" w14:textId="77777777" w:rsidTr="2539CAE0">
        <w:tc>
          <w:tcPr>
            <w:tcW w:w="1945" w:type="dxa"/>
            <w:vMerge/>
          </w:tcPr>
          <w:p w14:paraId="7C1E7A21" w14:textId="74B2FD2F" w:rsidR="00B97E39" w:rsidRDefault="00B97E39" w:rsidP="00B97E39">
            <w:pPr>
              <w:pStyle w:val="TableParagraph"/>
              <w:keepLines/>
              <w:widowControl/>
              <w:spacing w:line="268" w:lineRule="auto"/>
              <w:ind w:left="60"/>
              <w:rPr>
                <w:b/>
                <w:spacing w:val="-2"/>
                <w:sz w:val="18"/>
                <w:szCs w:val="20"/>
              </w:rPr>
            </w:pPr>
          </w:p>
        </w:tc>
        <w:tc>
          <w:tcPr>
            <w:tcW w:w="2217" w:type="dxa"/>
          </w:tcPr>
          <w:p w14:paraId="38404085" w14:textId="04A24FEF" w:rsidR="00B97E39" w:rsidRDefault="00B97E39" w:rsidP="00B97E39">
            <w:pPr>
              <w:pStyle w:val="TableParagraph"/>
              <w:keepLines/>
              <w:widowControl/>
              <w:spacing w:line="207" w:lineRule="exact"/>
              <w:ind w:left="104"/>
              <w:rPr>
                <w:sz w:val="18"/>
                <w:szCs w:val="20"/>
              </w:rPr>
            </w:pPr>
            <w:r>
              <w:rPr>
                <w:sz w:val="18"/>
                <w:szCs w:val="20"/>
              </w:rPr>
              <w:t>Performance mechanisms (e.g., metrics, scorecards, PIMS), including Case No. PUR-2023-00210 (Separate SCC PBR Case)</w:t>
            </w:r>
          </w:p>
        </w:tc>
        <w:tc>
          <w:tcPr>
            <w:tcW w:w="971" w:type="dxa"/>
            <w:gridSpan w:val="2"/>
          </w:tcPr>
          <w:p w14:paraId="13F803F6" w14:textId="0D3BD55A" w:rsidR="00B97E39" w:rsidRPr="00AB56BB" w:rsidRDefault="006E59E1" w:rsidP="00B97E39">
            <w:pPr>
              <w:pStyle w:val="TableParagraph"/>
              <w:keepLines/>
              <w:widowControl/>
              <w:jc w:val="center"/>
              <w:rPr>
                <w:rFonts w:ascii="Times New Roman"/>
                <w:sz w:val="18"/>
                <w:szCs w:val="20"/>
              </w:rPr>
            </w:pPr>
            <w:r>
              <w:rPr>
                <w:rFonts w:ascii="Times New Roman"/>
                <w:sz w:val="18"/>
                <w:szCs w:val="20"/>
              </w:rPr>
              <w:t>0</w:t>
            </w:r>
          </w:p>
        </w:tc>
        <w:tc>
          <w:tcPr>
            <w:tcW w:w="3296" w:type="dxa"/>
          </w:tcPr>
          <w:p w14:paraId="4D528045" w14:textId="39E5B0C4" w:rsidR="00B97E39" w:rsidRDefault="006E59E1" w:rsidP="00B97E39">
            <w:pPr>
              <w:pStyle w:val="TableParagraph"/>
              <w:keepLines/>
              <w:widowControl/>
              <w:rPr>
                <w:rFonts w:ascii="Times New Roman"/>
                <w:sz w:val="18"/>
                <w:szCs w:val="20"/>
              </w:rPr>
            </w:pPr>
            <w:r>
              <w:rPr>
                <w:rFonts w:ascii="Times New Roman"/>
                <w:sz w:val="18"/>
                <w:szCs w:val="20"/>
              </w:rPr>
              <w:t xml:space="preserve">metrics and scorecards seem particularly critical to informing the Commission and the public on utility progress toward policy objectives. </w:t>
            </w:r>
            <w:r w:rsidR="00827F77">
              <w:rPr>
                <w:rFonts w:ascii="Times New Roman"/>
                <w:sz w:val="18"/>
                <w:szCs w:val="20"/>
              </w:rPr>
              <w:t>Metrics also help to better define the desired outcome</w:t>
            </w:r>
            <w:r w:rsidR="003F31D5">
              <w:rPr>
                <w:rFonts w:ascii="Times New Roman"/>
                <w:sz w:val="18"/>
                <w:szCs w:val="20"/>
              </w:rPr>
              <w:t xml:space="preserve">. </w:t>
            </w:r>
          </w:p>
          <w:p w14:paraId="0005BCD9" w14:textId="77777777" w:rsidR="003F31D5" w:rsidRDefault="003F31D5" w:rsidP="00B97E39">
            <w:pPr>
              <w:pStyle w:val="TableParagraph"/>
              <w:keepLines/>
              <w:widowControl/>
              <w:rPr>
                <w:rFonts w:ascii="Times New Roman"/>
                <w:sz w:val="18"/>
                <w:szCs w:val="20"/>
              </w:rPr>
            </w:pPr>
          </w:p>
          <w:p w14:paraId="2CBCBF72" w14:textId="399CFE94" w:rsidR="003F31D5" w:rsidRPr="00AB56BB" w:rsidRDefault="003F31D5" w:rsidP="00B97E39">
            <w:pPr>
              <w:pStyle w:val="TableParagraph"/>
              <w:keepLines/>
              <w:widowControl/>
              <w:rPr>
                <w:rFonts w:ascii="Times New Roman"/>
                <w:sz w:val="18"/>
                <w:szCs w:val="20"/>
              </w:rPr>
            </w:pPr>
          </w:p>
        </w:tc>
        <w:tc>
          <w:tcPr>
            <w:tcW w:w="4534" w:type="dxa"/>
          </w:tcPr>
          <w:p w14:paraId="60095267" w14:textId="34A7839D" w:rsidR="00B97E39" w:rsidRPr="00AB56BB" w:rsidRDefault="003F31D5" w:rsidP="00B97E39">
            <w:pPr>
              <w:pStyle w:val="TableParagraph"/>
              <w:keepLines/>
              <w:widowControl/>
              <w:rPr>
                <w:rFonts w:ascii="Times New Roman"/>
                <w:sz w:val="18"/>
                <w:szCs w:val="20"/>
              </w:rPr>
            </w:pPr>
            <w:r>
              <w:rPr>
                <w:rFonts w:ascii="Times New Roman"/>
                <w:sz w:val="18"/>
                <w:szCs w:val="20"/>
              </w:rPr>
              <w:t xml:space="preserve">The interaction of the PBR Case framework on the broader discussion of </w:t>
            </w:r>
            <w:r w:rsidR="00E62307">
              <w:rPr>
                <w:rFonts w:ascii="Times New Roman"/>
                <w:sz w:val="18"/>
                <w:szCs w:val="20"/>
              </w:rPr>
              <w:t xml:space="preserve">PBR is still unclear as the Commission has not </w:t>
            </w:r>
            <w:proofErr w:type="gramStart"/>
            <w:r w:rsidR="00E62307">
              <w:rPr>
                <w:rFonts w:ascii="Times New Roman"/>
                <w:sz w:val="18"/>
                <w:szCs w:val="20"/>
              </w:rPr>
              <w:t>taken action</w:t>
            </w:r>
            <w:proofErr w:type="gramEnd"/>
            <w:r w:rsidR="00E62307">
              <w:rPr>
                <w:rFonts w:ascii="Times New Roman"/>
                <w:sz w:val="18"/>
                <w:szCs w:val="20"/>
              </w:rPr>
              <w:t xml:space="preserve"> on Staff</w:t>
            </w:r>
            <w:r w:rsidR="00E62307">
              <w:rPr>
                <w:rFonts w:ascii="Times New Roman"/>
                <w:sz w:val="18"/>
                <w:szCs w:val="20"/>
              </w:rPr>
              <w:t>’</w:t>
            </w:r>
            <w:r w:rsidR="00E62307">
              <w:rPr>
                <w:rFonts w:ascii="Times New Roman"/>
                <w:sz w:val="18"/>
                <w:szCs w:val="20"/>
              </w:rPr>
              <w:t xml:space="preserve">s </w:t>
            </w:r>
            <w:r w:rsidR="000A3FBB">
              <w:rPr>
                <w:rFonts w:ascii="Times New Roman"/>
                <w:sz w:val="18"/>
                <w:szCs w:val="20"/>
              </w:rPr>
              <w:t>March 2025 filing.</w:t>
            </w:r>
          </w:p>
        </w:tc>
      </w:tr>
      <w:tr w:rsidR="00B97E39" w:rsidRPr="00AB56BB" w14:paraId="3AB55596" w14:textId="77777777" w:rsidTr="2539CAE0">
        <w:trPr>
          <w:cantSplit/>
        </w:trPr>
        <w:tc>
          <w:tcPr>
            <w:tcW w:w="1945" w:type="dxa"/>
            <w:vMerge w:val="restart"/>
            <w:vAlign w:val="center"/>
          </w:tcPr>
          <w:p w14:paraId="1EEBF2B1" w14:textId="35FE5C34" w:rsidR="00B97E39" w:rsidRDefault="00B97E39" w:rsidP="00B97E39">
            <w:pPr>
              <w:pStyle w:val="TableParagraph"/>
              <w:keepLines/>
              <w:widowControl/>
              <w:spacing w:line="268" w:lineRule="auto"/>
              <w:ind w:left="60"/>
              <w:rPr>
                <w:b/>
                <w:spacing w:val="-2"/>
                <w:sz w:val="18"/>
                <w:szCs w:val="20"/>
              </w:rPr>
            </w:pPr>
            <w:r>
              <w:rPr>
                <w:b/>
                <w:spacing w:val="-2"/>
                <w:sz w:val="18"/>
                <w:szCs w:val="20"/>
              </w:rPr>
              <w:lastRenderedPageBreak/>
              <w:t>Other ratemaking and regulatory features</w:t>
            </w:r>
          </w:p>
        </w:tc>
        <w:tc>
          <w:tcPr>
            <w:tcW w:w="2217" w:type="dxa"/>
          </w:tcPr>
          <w:p w14:paraId="5CCA3F46" w14:textId="18B56AAF" w:rsidR="00B97E39" w:rsidRDefault="00B97E39" w:rsidP="00B97E39">
            <w:pPr>
              <w:pStyle w:val="TableParagraph"/>
              <w:keepLines/>
              <w:widowControl/>
              <w:spacing w:line="207" w:lineRule="exact"/>
              <w:ind w:left="104"/>
              <w:rPr>
                <w:sz w:val="18"/>
                <w:szCs w:val="20"/>
              </w:rPr>
            </w:pPr>
            <w:r>
              <w:rPr>
                <w:sz w:val="18"/>
                <w:szCs w:val="20"/>
              </w:rPr>
              <w:t>IRPs</w:t>
            </w:r>
          </w:p>
        </w:tc>
        <w:tc>
          <w:tcPr>
            <w:tcW w:w="971" w:type="dxa"/>
            <w:gridSpan w:val="2"/>
          </w:tcPr>
          <w:p w14:paraId="55EA4B80" w14:textId="5CFE00E0" w:rsidR="00B97E39" w:rsidRPr="00AB56BB" w:rsidRDefault="000529E8" w:rsidP="00B97E39">
            <w:pPr>
              <w:pStyle w:val="TableParagraph"/>
              <w:keepLines/>
              <w:widowControl/>
              <w:jc w:val="center"/>
              <w:rPr>
                <w:rFonts w:ascii="Times New Roman"/>
                <w:sz w:val="18"/>
                <w:szCs w:val="20"/>
              </w:rPr>
            </w:pPr>
            <w:r>
              <w:rPr>
                <w:rFonts w:ascii="Times New Roman"/>
                <w:sz w:val="18"/>
                <w:szCs w:val="20"/>
              </w:rPr>
              <w:t>-</w:t>
            </w:r>
          </w:p>
        </w:tc>
        <w:tc>
          <w:tcPr>
            <w:tcW w:w="3296" w:type="dxa"/>
          </w:tcPr>
          <w:p w14:paraId="6F30A5E2" w14:textId="77777777" w:rsidR="005F57B6" w:rsidRDefault="000529E8" w:rsidP="00B97E39">
            <w:pPr>
              <w:pStyle w:val="TableParagraph"/>
              <w:keepLines/>
              <w:widowControl/>
              <w:rPr>
                <w:rFonts w:ascii="Times New Roman"/>
                <w:sz w:val="18"/>
                <w:szCs w:val="20"/>
              </w:rPr>
            </w:pPr>
            <w:r>
              <w:rPr>
                <w:rFonts w:ascii="Times New Roman"/>
                <w:sz w:val="18"/>
                <w:szCs w:val="20"/>
              </w:rPr>
              <w:t>At present the IRP framework does not require consideration of the social cost of carbon and at present on</w:t>
            </w:r>
            <w:r w:rsidR="0085193E">
              <w:rPr>
                <w:rFonts w:ascii="Times New Roman"/>
                <w:sz w:val="18"/>
                <w:szCs w:val="20"/>
              </w:rPr>
              <w:t>ly</w:t>
            </w:r>
            <w:r>
              <w:rPr>
                <w:rFonts w:ascii="Times New Roman"/>
                <w:sz w:val="18"/>
                <w:szCs w:val="20"/>
              </w:rPr>
              <w:t xml:space="preserve"> Dominion is required to file an IRP.</w:t>
            </w:r>
            <w:r w:rsidR="000E6C6C">
              <w:rPr>
                <w:rFonts w:ascii="Times New Roman"/>
                <w:sz w:val="18"/>
                <w:szCs w:val="20"/>
              </w:rPr>
              <w:t xml:space="preserve"> So, consideration of what i</w:t>
            </w:r>
            <w:r w:rsidR="007C7E1D">
              <w:rPr>
                <w:rFonts w:ascii="Times New Roman"/>
                <w:sz w:val="18"/>
                <w:szCs w:val="20"/>
              </w:rPr>
              <w:t>mpact an IRP could have on decarbonizing electricity is limited to evaluating this in the context of Dominion.</w:t>
            </w:r>
          </w:p>
          <w:p w14:paraId="411020C7" w14:textId="77777777" w:rsidR="005F57B6" w:rsidRDefault="005F57B6" w:rsidP="00B97E39">
            <w:pPr>
              <w:pStyle w:val="TableParagraph"/>
              <w:keepLines/>
              <w:widowControl/>
              <w:rPr>
                <w:rFonts w:ascii="Times New Roman"/>
                <w:sz w:val="18"/>
                <w:szCs w:val="20"/>
              </w:rPr>
            </w:pPr>
          </w:p>
          <w:p w14:paraId="70B9E128" w14:textId="48080F4A" w:rsidR="00B97E39" w:rsidRDefault="000529E8" w:rsidP="00B97E39">
            <w:pPr>
              <w:pStyle w:val="TableParagraph"/>
              <w:keepLines/>
              <w:widowControl/>
              <w:rPr>
                <w:rFonts w:ascii="Times New Roman"/>
                <w:sz w:val="18"/>
                <w:szCs w:val="20"/>
              </w:rPr>
            </w:pPr>
            <w:r>
              <w:rPr>
                <w:rFonts w:ascii="Times New Roman"/>
                <w:sz w:val="18"/>
                <w:szCs w:val="20"/>
              </w:rPr>
              <w:t>Dominion</w:t>
            </w:r>
            <w:r>
              <w:rPr>
                <w:rFonts w:ascii="Times New Roman"/>
                <w:sz w:val="18"/>
                <w:szCs w:val="20"/>
              </w:rPr>
              <w:t>’</w:t>
            </w:r>
            <w:r>
              <w:rPr>
                <w:rFonts w:ascii="Times New Roman"/>
                <w:sz w:val="18"/>
                <w:szCs w:val="20"/>
              </w:rPr>
              <w:t xml:space="preserve">s recent IRP included </w:t>
            </w:r>
            <w:r>
              <w:rPr>
                <w:rFonts w:ascii="Times New Roman"/>
                <w:sz w:val="18"/>
                <w:szCs w:val="20"/>
              </w:rPr>
              <w:t>“</w:t>
            </w:r>
            <w:r>
              <w:rPr>
                <w:rFonts w:ascii="Times New Roman"/>
                <w:sz w:val="18"/>
                <w:szCs w:val="20"/>
              </w:rPr>
              <w:t>carbon intensity</w:t>
            </w:r>
            <w:r>
              <w:rPr>
                <w:rFonts w:ascii="Times New Roman"/>
                <w:sz w:val="18"/>
                <w:szCs w:val="20"/>
              </w:rPr>
              <w:t>”</w:t>
            </w:r>
            <w:r>
              <w:rPr>
                <w:rFonts w:ascii="Times New Roman"/>
                <w:sz w:val="18"/>
                <w:szCs w:val="20"/>
              </w:rPr>
              <w:t xml:space="preserve"> as opposed to </w:t>
            </w:r>
            <w:r w:rsidR="00954805">
              <w:rPr>
                <w:rFonts w:ascii="Times New Roman"/>
                <w:sz w:val="18"/>
                <w:szCs w:val="20"/>
              </w:rPr>
              <w:t>the actual measure of carbon emissions related to its</w:t>
            </w:r>
            <w:r w:rsidR="00954805">
              <w:rPr>
                <w:rFonts w:ascii="Times New Roman"/>
                <w:sz w:val="18"/>
                <w:szCs w:val="20"/>
              </w:rPr>
              <w:t>’</w:t>
            </w:r>
            <w:r w:rsidR="00954805">
              <w:rPr>
                <w:rFonts w:ascii="Times New Roman"/>
                <w:sz w:val="18"/>
                <w:szCs w:val="20"/>
              </w:rPr>
              <w:t xml:space="preserve">s proposed portfolios, each of which included </w:t>
            </w:r>
            <w:r w:rsidR="00955939">
              <w:rPr>
                <w:rFonts w:ascii="Times New Roman"/>
                <w:sz w:val="18"/>
                <w:szCs w:val="20"/>
              </w:rPr>
              <w:t xml:space="preserve">substantial projections of gas utilization. </w:t>
            </w:r>
            <w:r w:rsidR="005F57B6">
              <w:rPr>
                <w:rFonts w:ascii="Times New Roman"/>
                <w:sz w:val="18"/>
                <w:szCs w:val="20"/>
              </w:rPr>
              <w:t>No social cost of carbon value was provided for each por</w:t>
            </w:r>
            <w:r w:rsidR="00B24E1C">
              <w:rPr>
                <w:rFonts w:ascii="Times New Roman"/>
                <w:sz w:val="18"/>
                <w:szCs w:val="20"/>
              </w:rPr>
              <w:t>tfolio, and the portfolios did not assume Virginia</w:t>
            </w:r>
            <w:r w:rsidR="00B24E1C">
              <w:rPr>
                <w:rFonts w:ascii="Times New Roman"/>
                <w:sz w:val="18"/>
                <w:szCs w:val="20"/>
              </w:rPr>
              <w:t>’</w:t>
            </w:r>
            <w:r w:rsidR="00B24E1C">
              <w:rPr>
                <w:rFonts w:ascii="Times New Roman"/>
                <w:sz w:val="18"/>
                <w:szCs w:val="20"/>
              </w:rPr>
              <w:t xml:space="preserve">s participation in RGGI. </w:t>
            </w:r>
            <w:r w:rsidR="00F01CB2">
              <w:rPr>
                <w:rFonts w:ascii="Times New Roman"/>
                <w:sz w:val="18"/>
                <w:szCs w:val="20"/>
              </w:rPr>
              <w:t xml:space="preserve">So, the information that would tend to be meaningfully informative </w:t>
            </w:r>
            <w:proofErr w:type="gramStart"/>
            <w:r w:rsidR="00F01CB2">
              <w:rPr>
                <w:rFonts w:ascii="Times New Roman"/>
                <w:sz w:val="18"/>
                <w:szCs w:val="20"/>
              </w:rPr>
              <w:t>with regard to</w:t>
            </w:r>
            <w:proofErr w:type="gramEnd"/>
            <w:r w:rsidR="00F01CB2">
              <w:rPr>
                <w:rFonts w:ascii="Times New Roman"/>
                <w:sz w:val="18"/>
                <w:szCs w:val="20"/>
              </w:rPr>
              <w:t xml:space="preserve"> carbon emissions and efforts toward decarbonizing electricity were</w:t>
            </w:r>
            <w:r w:rsidR="00655C09">
              <w:rPr>
                <w:rFonts w:ascii="Times New Roman"/>
                <w:sz w:val="18"/>
                <w:szCs w:val="20"/>
              </w:rPr>
              <w:t>n</w:t>
            </w:r>
            <w:r w:rsidR="00655C09">
              <w:rPr>
                <w:rFonts w:ascii="Times New Roman"/>
                <w:sz w:val="18"/>
                <w:szCs w:val="20"/>
              </w:rPr>
              <w:t>’</w:t>
            </w:r>
            <w:r w:rsidR="00655C09">
              <w:rPr>
                <w:rFonts w:ascii="Times New Roman"/>
                <w:sz w:val="18"/>
                <w:szCs w:val="20"/>
              </w:rPr>
              <w:t>t immediately apparent in the most recent filing. Additionally, the modeled years only went to 2039</w:t>
            </w:r>
            <w:r w:rsidR="001A2966">
              <w:rPr>
                <w:rFonts w:ascii="Times New Roman"/>
                <w:sz w:val="18"/>
                <w:szCs w:val="20"/>
              </w:rPr>
              <w:t>, so the 2045 carbon-emitting resource retirement requirement was not reflected in the modeled portfolios Dominion submitted.</w:t>
            </w:r>
          </w:p>
          <w:p w14:paraId="1A3520EB" w14:textId="77777777" w:rsidR="00A74913" w:rsidRDefault="00A74913" w:rsidP="00B97E39">
            <w:pPr>
              <w:pStyle w:val="TableParagraph"/>
              <w:keepLines/>
              <w:widowControl/>
              <w:rPr>
                <w:rFonts w:ascii="Times New Roman"/>
                <w:sz w:val="18"/>
                <w:szCs w:val="20"/>
              </w:rPr>
            </w:pPr>
          </w:p>
          <w:p w14:paraId="185F5CFF" w14:textId="0CB9E420" w:rsidR="00955939" w:rsidRPr="00AB56BB" w:rsidRDefault="00A74913" w:rsidP="00B97E39">
            <w:pPr>
              <w:pStyle w:val="TableParagraph"/>
              <w:keepLines/>
              <w:widowControl/>
              <w:rPr>
                <w:rFonts w:ascii="Times New Roman"/>
                <w:sz w:val="18"/>
                <w:szCs w:val="20"/>
              </w:rPr>
            </w:pPr>
            <w:r>
              <w:rPr>
                <w:rFonts w:ascii="Times New Roman"/>
                <w:sz w:val="18"/>
                <w:szCs w:val="20"/>
              </w:rPr>
              <w:t>All this to say, the IRP could be a place where much needed information related to carbon emissions and its impacts could be evaluated</w:t>
            </w:r>
            <w:r w:rsidR="004A71BC">
              <w:rPr>
                <w:rFonts w:ascii="Times New Roman"/>
                <w:sz w:val="18"/>
                <w:szCs w:val="20"/>
              </w:rPr>
              <w:t xml:space="preserve">, but getting something more substantive this issue would require Commission </w:t>
            </w:r>
            <w:r w:rsidR="007800C5">
              <w:rPr>
                <w:rFonts w:ascii="Times New Roman"/>
                <w:sz w:val="18"/>
                <w:szCs w:val="20"/>
              </w:rPr>
              <w:t xml:space="preserve">guidance </w:t>
            </w:r>
            <w:r w:rsidR="004A71BC">
              <w:rPr>
                <w:rFonts w:ascii="Times New Roman"/>
                <w:sz w:val="18"/>
                <w:szCs w:val="20"/>
              </w:rPr>
              <w:t xml:space="preserve">and or legislative </w:t>
            </w:r>
            <w:r w:rsidR="007800C5">
              <w:rPr>
                <w:rFonts w:ascii="Times New Roman"/>
                <w:sz w:val="18"/>
                <w:szCs w:val="20"/>
              </w:rPr>
              <w:t>directives.</w:t>
            </w:r>
          </w:p>
        </w:tc>
        <w:tc>
          <w:tcPr>
            <w:tcW w:w="4534" w:type="dxa"/>
          </w:tcPr>
          <w:p w14:paraId="18F0ADE9" w14:textId="77777777" w:rsidR="00B97E39" w:rsidRDefault="00E01C35" w:rsidP="00B97E39">
            <w:pPr>
              <w:pStyle w:val="TableParagraph"/>
              <w:keepLines/>
              <w:widowControl/>
              <w:rPr>
                <w:rFonts w:ascii="Times New Roman"/>
                <w:sz w:val="18"/>
                <w:szCs w:val="20"/>
              </w:rPr>
            </w:pPr>
            <w:r>
              <w:rPr>
                <w:rFonts w:ascii="Times New Roman"/>
                <w:sz w:val="18"/>
                <w:szCs w:val="20"/>
              </w:rPr>
              <w:t xml:space="preserve">The IRP proceeding presents an opportunity to evaluate the utility plans for decarbonizing electricity, but the utility </w:t>
            </w:r>
            <w:proofErr w:type="gramStart"/>
            <w:r>
              <w:rPr>
                <w:rFonts w:ascii="Times New Roman"/>
                <w:sz w:val="18"/>
                <w:szCs w:val="20"/>
              </w:rPr>
              <w:t>has a tendency to</w:t>
            </w:r>
            <w:proofErr w:type="gramEnd"/>
            <w:r>
              <w:rPr>
                <w:rFonts w:ascii="Times New Roman"/>
                <w:sz w:val="18"/>
                <w:szCs w:val="20"/>
              </w:rPr>
              <w:t xml:space="preserve"> downplay the importance of the proceeding by</w:t>
            </w:r>
            <w:r w:rsidR="00713D55">
              <w:rPr>
                <w:rFonts w:ascii="Times New Roman"/>
                <w:sz w:val="18"/>
                <w:szCs w:val="20"/>
              </w:rPr>
              <w:t xml:space="preserve"> offering limited variations in the portfolios it offers and in the recent past, not identifying a preferred plan.</w:t>
            </w:r>
          </w:p>
          <w:p w14:paraId="64E18DAA" w14:textId="77777777" w:rsidR="00226F0D" w:rsidRDefault="00226F0D" w:rsidP="00B97E39">
            <w:pPr>
              <w:pStyle w:val="TableParagraph"/>
              <w:keepLines/>
              <w:widowControl/>
              <w:rPr>
                <w:rFonts w:ascii="Times New Roman"/>
                <w:sz w:val="18"/>
                <w:szCs w:val="20"/>
              </w:rPr>
            </w:pPr>
          </w:p>
          <w:p w14:paraId="1D7F60E8" w14:textId="15B27869" w:rsidR="00226F0D" w:rsidRPr="00AB56BB" w:rsidRDefault="00226F0D" w:rsidP="00B97E39">
            <w:pPr>
              <w:pStyle w:val="TableParagraph"/>
              <w:keepLines/>
              <w:widowControl/>
              <w:rPr>
                <w:rFonts w:ascii="Times New Roman"/>
                <w:sz w:val="18"/>
                <w:szCs w:val="20"/>
              </w:rPr>
            </w:pPr>
            <w:r>
              <w:rPr>
                <w:rFonts w:ascii="Times New Roman"/>
                <w:sz w:val="18"/>
                <w:szCs w:val="20"/>
              </w:rPr>
              <w:t xml:space="preserve">At present, the IRP statutes (Va. Code </w:t>
            </w:r>
            <w:r>
              <w:rPr>
                <w:rFonts w:ascii="Times New Roman"/>
                <w:sz w:val="18"/>
                <w:szCs w:val="20"/>
              </w:rPr>
              <w:t>§</w:t>
            </w:r>
            <w:r>
              <w:rPr>
                <w:rFonts w:ascii="Times New Roman"/>
                <w:sz w:val="18"/>
                <w:szCs w:val="20"/>
              </w:rPr>
              <w:t xml:space="preserve"> 56-597 </w:t>
            </w:r>
            <w:r w:rsidRPr="002B35EE">
              <w:rPr>
                <w:rFonts w:ascii="Times New Roman"/>
                <w:i/>
                <w:iCs/>
                <w:sz w:val="18"/>
                <w:szCs w:val="20"/>
              </w:rPr>
              <w:t>et seq</w:t>
            </w:r>
            <w:r>
              <w:rPr>
                <w:rFonts w:ascii="Times New Roman"/>
                <w:sz w:val="18"/>
                <w:szCs w:val="20"/>
              </w:rPr>
              <w:t>.) contain useful directives for what should be considered in an IRP, but if utility fails to seriously consider zero carbon solutions meaningfully and the Commission does press the utility to do so, the planning exercise is for naught with respect to incentivizing decarbonizing electricity.</w:t>
            </w:r>
          </w:p>
        </w:tc>
      </w:tr>
      <w:tr w:rsidR="00B97E39" w:rsidRPr="00AB56BB" w14:paraId="513C320E" w14:textId="77777777" w:rsidTr="2539CAE0">
        <w:trPr>
          <w:cantSplit/>
        </w:trPr>
        <w:tc>
          <w:tcPr>
            <w:tcW w:w="1945" w:type="dxa"/>
            <w:vMerge/>
          </w:tcPr>
          <w:p w14:paraId="5DC3121C" w14:textId="77777777" w:rsidR="00B97E39" w:rsidRDefault="00B97E39" w:rsidP="00B97E39">
            <w:pPr>
              <w:pStyle w:val="TableParagraph"/>
              <w:keepLines/>
              <w:widowControl/>
              <w:spacing w:line="268" w:lineRule="auto"/>
              <w:ind w:left="60"/>
              <w:rPr>
                <w:b/>
                <w:spacing w:val="-2"/>
                <w:sz w:val="18"/>
                <w:szCs w:val="20"/>
              </w:rPr>
            </w:pPr>
          </w:p>
        </w:tc>
        <w:tc>
          <w:tcPr>
            <w:tcW w:w="2217" w:type="dxa"/>
          </w:tcPr>
          <w:p w14:paraId="1F9AA945" w14:textId="2E8DE4EB" w:rsidR="00B97E39" w:rsidRDefault="00B97E39" w:rsidP="00B97E39">
            <w:pPr>
              <w:pStyle w:val="TableParagraph"/>
              <w:keepLines/>
              <w:widowControl/>
              <w:spacing w:line="207" w:lineRule="exact"/>
              <w:ind w:left="104"/>
              <w:rPr>
                <w:sz w:val="18"/>
                <w:szCs w:val="20"/>
              </w:rPr>
            </w:pPr>
            <w:r>
              <w:rPr>
                <w:sz w:val="18"/>
                <w:szCs w:val="20"/>
              </w:rPr>
              <w:t>Certificates of Public Need and Necessity (CPCN)</w:t>
            </w:r>
          </w:p>
        </w:tc>
        <w:tc>
          <w:tcPr>
            <w:tcW w:w="971" w:type="dxa"/>
            <w:gridSpan w:val="2"/>
          </w:tcPr>
          <w:p w14:paraId="0B5C8187" w14:textId="6F1427F0" w:rsidR="00B97E39" w:rsidRPr="00AB56BB" w:rsidRDefault="001D3874" w:rsidP="00B97E39">
            <w:pPr>
              <w:pStyle w:val="TableParagraph"/>
              <w:keepLines/>
              <w:widowControl/>
              <w:jc w:val="center"/>
              <w:rPr>
                <w:rFonts w:ascii="Times New Roman"/>
                <w:sz w:val="18"/>
                <w:szCs w:val="20"/>
              </w:rPr>
            </w:pPr>
            <w:r>
              <w:rPr>
                <w:rFonts w:ascii="Times New Roman"/>
                <w:sz w:val="18"/>
                <w:szCs w:val="20"/>
              </w:rPr>
              <w:t>0</w:t>
            </w:r>
          </w:p>
        </w:tc>
        <w:tc>
          <w:tcPr>
            <w:tcW w:w="3296" w:type="dxa"/>
          </w:tcPr>
          <w:p w14:paraId="76E1DA20" w14:textId="798C340B" w:rsidR="00B97E39" w:rsidRPr="00AB56BB" w:rsidRDefault="00B300CE" w:rsidP="00B97E39">
            <w:pPr>
              <w:pStyle w:val="TableParagraph"/>
              <w:keepLines/>
              <w:widowControl/>
              <w:rPr>
                <w:rFonts w:ascii="Times New Roman"/>
                <w:sz w:val="18"/>
                <w:szCs w:val="20"/>
              </w:rPr>
            </w:pPr>
            <w:r>
              <w:rPr>
                <w:rFonts w:ascii="Times New Roman"/>
                <w:sz w:val="18"/>
                <w:szCs w:val="20"/>
              </w:rPr>
              <w:t xml:space="preserve">If the utility has not met its </w:t>
            </w:r>
            <w:r w:rsidR="00DD2453">
              <w:rPr>
                <w:rFonts w:ascii="Times New Roman"/>
                <w:sz w:val="18"/>
                <w:szCs w:val="20"/>
              </w:rPr>
              <w:t xml:space="preserve">EERS, the Commission can only approve a new carbon emitting resource if there is a threat to reliability or electric service to customers. </w:t>
            </w:r>
          </w:p>
        </w:tc>
        <w:tc>
          <w:tcPr>
            <w:tcW w:w="4534" w:type="dxa"/>
          </w:tcPr>
          <w:p w14:paraId="517A05C5" w14:textId="70B1C65F" w:rsidR="00B97E39" w:rsidRPr="00AB56BB" w:rsidRDefault="007303B8" w:rsidP="00B97E39">
            <w:pPr>
              <w:pStyle w:val="TableParagraph"/>
              <w:keepLines/>
              <w:widowControl/>
              <w:rPr>
                <w:rFonts w:ascii="Times New Roman"/>
                <w:sz w:val="18"/>
                <w:szCs w:val="20"/>
              </w:rPr>
            </w:pPr>
            <w:r>
              <w:rPr>
                <w:rFonts w:ascii="Times New Roman"/>
                <w:sz w:val="18"/>
                <w:szCs w:val="20"/>
              </w:rPr>
              <w:t xml:space="preserve">This requirement has not yet been </w:t>
            </w:r>
            <w:r>
              <w:rPr>
                <w:rFonts w:ascii="Times New Roman"/>
                <w:sz w:val="18"/>
                <w:szCs w:val="20"/>
              </w:rPr>
              <w:t>“</w:t>
            </w:r>
            <w:r>
              <w:rPr>
                <w:rFonts w:ascii="Times New Roman"/>
                <w:sz w:val="18"/>
                <w:szCs w:val="20"/>
              </w:rPr>
              <w:t>tested</w:t>
            </w:r>
            <w:r>
              <w:rPr>
                <w:rFonts w:ascii="Times New Roman"/>
                <w:sz w:val="18"/>
                <w:szCs w:val="20"/>
              </w:rPr>
              <w:t>”</w:t>
            </w:r>
            <w:r>
              <w:rPr>
                <w:rFonts w:ascii="Times New Roman"/>
                <w:sz w:val="18"/>
                <w:szCs w:val="20"/>
              </w:rPr>
              <w:t xml:space="preserve"> at the Commission. The first case before the Commission, is the Chesterfield gas plant CPCN, filed March 3, </w:t>
            </w:r>
            <w:proofErr w:type="gramStart"/>
            <w:r>
              <w:rPr>
                <w:rFonts w:ascii="Times New Roman"/>
                <w:sz w:val="18"/>
                <w:szCs w:val="20"/>
              </w:rPr>
              <w:t>2025</w:t>
            </w:r>
            <w:proofErr w:type="gramEnd"/>
            <w:r>
              <w:rPr>
                <w:rFonts w:ascii="Times New Roman"/>
                <w:sz w:val="18"/>
                <w:szCs w:val="20"/>
              </w:rPr>
              <w:t xml:space="preserve"> by Dominion, which did not meet its EERS.</w:t>
            </w:r>
          </w:p>
        </w:tc>
      </w:tr>
      <w:tr w:rsidR="00B97E39" w:rsidRPr="00AB56BB" w14:paraId="4A37840C" w14:textId="77777777" w:rsidTr="2539CAE0">
        <w:trPr>
          <w:cantSplit/>
        </w:trPr>
        <w:tc>
          <w:tcPr>
            <w:tcW w:w="1945" w:type="dxa"/>
            <w:vMerge/>
          </w:tcPr>
          <w:p w14:paraId="1BD8D144" w14:textId="77777777" w:rsidR="00B97E39" w:rsidRDefault="00B97E39" w:rsidP="00B97E39">
            <w:pPr>
              <w:pStyle w:val="TableParagraph"/>
              <w:keepLines/>
              <w:widowControl/>
              <w:spacing w:line="268" w:lineRule="auto"/>
              <w:ind w:left="60"/>
              <w:rPr>
                <w:b/>
                <w:spacing w:val="-2"/>
                <w:sz w:val="18"/>
                <w:szCs w:val="20"/>
              </w:rPr>
            </w:pPr>
          </w:p>
        </w:tc>
        <w:tc>
          <w:tcPr>
            <w:tcW w:w="2217" w:type="dxa"/>
          </w:tcPr>
          <w:p w14:paraId="67E0E675" w14:textId="471ACD6D" w:rsidR="00B97E39" w:rsidRDefault="00B97E39" w:rsidP="00B97E39">
            <w:pPr>
              <w:pStyle w:val="TableParagraph"/>
              <w:keepLines/>
              <w:widowControl/>
              <w:spacing w:line="207" w:lineRule="exact"/>
              <w:ind w:left="104"/>
              <w:rPr>
                <w:sz w:val="18"/>
                <w:szCs w:val="20"/>
              </w:rPr>
            </w:pPr>
            <w:r>
              <w:rPr>
                <w:sz w:val="18"/>
                <w:szCs w:val="20"/>
              </w:rPr>
              <w:t>Rate design (including universal service fee)</w:t>
            </w:r>
          </w:p>
        </w:tc>
        <w:tc>
          <w:tcPr>
            <w:tcW w:w="971" w:type="dxa"/>
            <w:gridSpan w:val="2"/>
          </w:tcPr>
          <w:p w14:paraId="39F5FEA8" w14:textId="77777777" w:rsidR="00B97E39" w:rsidRPr="00AB56BB" w:rsidRDefault="00B97E39" w:rsidP="00B97E39">
            <w:pPr>
              <w:pStyle w:val="TableParagraph"/>
              <w:keepLines/>
              <w:widowControl/>
              <w:jc w:val="center"/>
              <w:rPr>
                <w:rFonts w:ascii="Times New Roman"/>
                <w:sz w:val="18"/>
                <w:szCs w:val="20"/>
              </w:rPr>
            </w:pPr>
          </w:p>
        </w:tc>
        <w:tc>
          <w:tcPr>
            <w:tcW w:w="3296" w:type="dxa"/>
          </w:tcPr>
          <w:p w14:paraId="2D3738F1" w14:textId="77777777" w:rsidR="00B97E39" w:rsidRPr="00AB56BB" w:rsidRDefault="00B97E39" w:rsidP="00B97E39">
            <w:pPr>
              <w:pStyle w:val="TableParagraph"/>
              <w:keepLines/>
              <w:widowControl/>
              <w:rPr>
                <w:rFonts w:ascii="Times New Roman"/>
                <w:sz w:val="18"/>
                <w:szCs w:val="20"/>
              </w:rPr>
            </w:pPr>
          </w:p>
        </w:tc>
        <w:tc>
          <w:tcPr>
            <w:tcW w:w="4534" w:type="dxa"/>
          </w:tcPr>
          <w:p w14:paraId="3A903B16" w14:textId="77777777" w:rsidR="00B97E39" w:rsidRPr="00AB56BB" w:rsidRDefault="00B97E39" w:rsidP="00B97E39">
            <w:pPr>
              <w:pStyle w:val="TableParagraph"/>
              <w:keepLines/>
              <w:widowControl/>
              <w:rPr>
                <w:rFonts w:ascii="Times New Roman"/>
                <w:sz w:val="18"/>
                <w:szCs w:val="20"/>
              </w:rPr>
            </w:pPr>
          </w:p>
        </w:tc>
      </w:tr>
      <w:tr w:rsidR="00B97E39" w:rsidRPr="00AB56BB" w14:paraId="70B15E51" w14:textId="77777777" w:rsidTr="2539CAE0">
        <w:trPr>
          <w:cantSplit/>
        </w:trPr>
        <w:tc>
          <w:tcPr>
            <w:tcW w:w="1945" w:type="dxa"/>
            <w:vMerge/>
          </w:tcPr>
          <w:p w14:paraId="4ED19E05" w14:textId="77777777" w:rsidR="00B97E39" w:rsidRDefault="00B97E39" w:rsidP="00B97E39">
            <w:pPr>
              <w:pStyle w:val="TableParagraph"/>
              <w:keepLines/>
              <w:widowControl/>
              <w:spacing w:line="268" w:lineRule="auto"/>
              <w:ind w:left="60"/>
              <w:rPr>
                <w:b/>
                <w:spacing w:val="-2"/>
                <w:sz w:val="18"/>
                <w:szCs w:val="20"/>
              </w:rPr>
            </w:pPr>
          </w:p>
        </w:tc>
        <w:tc>
          <w:tcPr>
            <w:tcW w:w="2217" w:type="dxa"/>
          </w:tcPr>
          <w:p w14:paraId="5AA8019A" w14:textId="38C5E925" w:rsidR="00B97E39" w:rsidRDefault="00B97E39" w:rsidP="00B97E39">
            <w:pPr>
              <w:pStyle w:val="TableParagraph"/>
              <w:keepLines/>
              <w:widowControl/>
              <w:spacing w:line="207" w:lineRule="exact"/>
              <w:ind w:left="104"/>
              <w:rPr>
                <w:sz w:val="18"/>
                <w:szCs w:val="20"/>
              </w:rPr>
            </w:pPr>
            <w:r>
              <w:rPr>
                <w:sz w:val="18"/>
                <w:szCs w:val="20"/>
              </w:rPr>
              <w:t>Pilot programs</w:t>
            </w:r>
          </w:p>
        </w:tc>
        <w:tc>
          <w:tcPr>
            <w:tcW w:w="971" w:type="dxa"/>
            <w:gridSpan w:val="2"/>
          </w:tcPr>
          <w:p w14:paraId="7A525E56" w14:textId="77777777" w:rsidR="00B97E39" w:rsidRPr="00AB56BB" w:rsidRDefault="00B97E39" w:rsidP="00B97E39">
            <w:pPr>
              <w:pStyle w:val="TableParagraph"/>
              <w:keepLines/>
              <w:widowControl/>
              <w:jc w:val="center"/>
              <w:rPr>
                <w:rFonts w:ascii="Times New Roman"/>
                <w:sz w:val="18"/>
                <w:szCs w:val="20"/>
              </w:rPr>
            </w:pPr>
          </w:p>
        </w:tc>
        <w:tc>
          <w:tcPr>
            <w:tcW w:w="3296" w:type="dxa"/>
          </w:tcPr>
          <w:p w14:paraId="44FA10F0" w14:textId="77777777" w:rsidR="00B97E39" w:rsidRPr="00AB56BB" w:rsidRDefault="00B97E39" w:rsidP="00B97E39">
            <w:pPr>
              <w:pStyle w:val="TableParagraph"/>
              <w:keepLines/>
              <w:widowControl/>
              <w:rPr>
                <w:rFonts w:ascii="Times New Roman"/>
                <w:sz w:val="18"/>
                <w:szCs w:val="20"/>
              </w:rPr>
            </w:pPr>
          </w:p>
        </w:tc>
        <w:tc>
          <w:tcPr>
            <w:tcW w:w="4534" w:type="dxa"/>
          </w:tcPr>
          <w:p w14:paraId="683D611D" w14:textId="77777777" w:rsidR="00B97E39" w:rsidRDefault="00E839EE" w:rsidP="00B97E39">
            <w:pPr>
              <w:pStyle w:val="TableParagraph"/>
              <w:keepLines/>
              <w:widowControl/>
              <w:rPr>
                <w:rFonts w:ascii="Times New Roman"/>
                <w:sz w:val="18"/>
                <w:szCs w:val="20"/>
              </w:rPr>
            </w:pPr>
            <w:r>
              <w:rPr>
                <w:rFonts w:ascii="Times New Roman"/>
                <w:sz w:val="18"/>
                <w:szCs w:val="20"/>
              </w:rPr>
              <w:t xml:space="preserve">In theory pilot programs could incent </w:t>
            </w:r>
            <w:r w:rsidR="00E92EBF">
              <w:rPr>
                <w:rFonts w:ascii="Times New Roman"/>
                <w:sz w:val="18"/>
                <w:szCs w:val="20"/>
              </w:rPr>
              <w:t xml:space="preserve">innovation. In practice however, it is unclear whether pilot programs and testing actual solutions to problems the utility is facing and whether they are moving </w:t>
            </w:r>
            <w:r w:rsidR="00CF6861">
              <w:rPr>
                <w:rFonts w:ascii="Times New Roman"/>
                <w:sz w:val="18"/>
                <w:szCs w:val="20"/>
              </w:rPr>
              <w:t>well-tested ideas forward</w:t>
            </w:r>
            <w:r w:rsidR="00087892">
              <w:rPr>
                <w:rFonts w:ascii="Times New Roman"/>
                <w:sz w:val="18"/>
                <w:szCs w:val="20"/>
              </w:rPr>
              <w:t xml:space="preserve"> or using pilots to showcase concepts that are unlikely to move beyond the testing phase.</w:t>
            </w:r>
          </w:p>
          <w:p w14:paraId="084F0820" w14:textId="77777777" w:rsidR="000B74D7" w:rsidRDefault="000B74D7" w:rsidP="00B97E39">
            <w:pPr>
              <w:pStyle w:val="TableParagraph"/>
              <w:keepLines/>
              <w:widowControl/>
              <w:rPr>
                <w:rFonts w:ascii="Times New Roman"/>
                <w:sz w:val="18"/>
                <w:szCs w:val="20"/>
              </w:rPr>
            </w:pPr>
          </w:p>
          <w:p w14:paraId="48689F3A" w14:textId="748FB04F" w:rsidR="000B74D7" w:rsidRPr="00AB56BB" w:rsidRDefault="003A28E5" w:rsidP="00B97E39">
            <w:pPr>
              <w:pStyle w:val="TableParagraph"/>
              <w:keepLines/>
              <w:widowControl/>
              <w:rPr>
                <w:rFonts w:ascii="Times New Roman"/>
                <w:sz w:val="18"/>
                <w:szCs w:val="20"/>
              </w:rPr>
            </w:pPr>
            <w:r>
              <w:rPr>
                <w:rFonts w:ascii="Times New Roman"/>
                <w:sz w:val="18"/>
                <w:szCs w:val="20"/>
              </w:rPr>
              <w:t>Pilot improvement might entail requiring a</w:t>
            </w:r>
            <w:r w:rsidR="000B74D7">
              <w:rPr>
                <w:rFonts w:ascii="Times New Roman"/>
                <w:sz w:val="18"/>
                <w:szCs w:val="20"/>
              </w:rPr>
              <w:t xml:space="preserve"> clear statement of the problem the pilot is seeking to solve and metrics for evaluating progress toward that goal</w:t>
            </w:r>
            <w:r w:rsidR="00204982">
              <w:rPr>
                <w:rFonts w:ascii="Times New Roman"/>
                <w:sz w:val="18"/>
                <w:szCs w:val="20"/>
              </w:rPr>
              <w:t>,</w:t>
            </w:r>
            <w:r w:rsidR="000B74D7">
              <w:rPr>
                <w:rFonts w:ascii="Times New Roman"/>
                <w:sz w:val="18"/>
                <w:szCs w:val="20"/>
              </w:rPr>
              <w:t xml:space="preserve"> as well </w:t>
            </w:r>
            <w:r w:rsidR="003B7C60">
              <w:rPr>
                <w:rFonts w:ascii="Times New Roman"/>
                <w:sz w:val="18"/>
                <w:szCs w:val="20"/>
              </w:rPr>
              <w:t xml:space="preserve">as </w:t>
            </w:r>
            <w:r w:rsidR="00F913C0">
              <w:rPr>
                <w:rFonts w:ascii="Times New Roman"/>
                <w:sz w:val="18"/>
                <w:szCs w:val="20"/>
              </w:rPr>
              <w:t>an evaluation of what scaling up might entail if the pilot proves a concept ready to advance to full application.</w:t>
            </w:r>
          </w:p>
        </w:tc>
      </w:tr>
    </w:tbl>
    <w:p w14:paraId="410F3549" w14:textId="77777777" w:rsidR="00754FD1" w:rsidRDefault="00754FD1">
      <w:pPr>
        <w:pStyle w:val="BodyText"/>
      </w:pPr>
    </w:p>
    <w:p w14:paraId="566D6757" w14:textId="7B8BD019" w:rsidR="00754FD1" w:rsidRPr="00754FD1" w:rsidRDefault="00754FD1">
      <w:pPr>
        <w:pStyle w:val="BodyText"/>
        <w:rPr>
          <w:sz w:val="28"/>
          <w:szCs w:val="28"/>
        </w:rPr>
      </w:pPr>
      <w:r>
        <w:rPr>
          <w:sz w:val="28"/>
          <w:szCs w:val="28"/>
        </w:rPr>
        <w:t>Overall Assessment</w:t>
      </w:r>
    </w:p>
    <w:p w14:paraId="104E2C31" w14:textId="77777777" w:rsidR="00754FD1" w:rsidRDefault="00754FD1">
      <w:pPr>
        <w:pStyle w:val="BodyText"/>
      </w:pPr>
    </w:p>
    <w:tbl>
      <w:tblPr>
        <w:tblStyle w:val="TableGrid"/>
        <w:tblW w:w="0" w:type="auto"/>
        <w:tblInd w:w="288" w:type="dxa"/>
        <w:tblLook w:val="04A0" w:firstRow="1" w:lastRow="0" w:firstColumn="1" w:lastColumn="0" w:noHBand="0" w:noVBand="1"/>
      </w:tblPr>
      <w:tblGrid>
        <w:gridCol w:w="3960"/>
        <w:gridCol w:w="1530"/>
        <w:gridCol w:w="7470"/>
      </w:tblGrid>
      <w:tr w:rsidR="00754FD1" w14:paraId="04E62DB9" w14:textId="77777777" w:rsidTr="00754FD1">
        <w:tc>
          <w:tcPr>
            <w:tcW w:w="5490" w:type="dxa"/>
            <w:gridSpan w:val="2"/>
            <w:shd w:val="clear" w:color="auto" w:fill="3B7E32"/>
          </w:tcPr>
          <w:p w14:paraId="1FC4C6BD" w14:textId="1538FE8A" w:rsidR="00754FD1" w:rsidRDefault="00754FD1">
            <w:pPr>
              <w:pStyle w:val="BodyText"/>
              <w:spacing w:before="63"/>
            </w:pPr>
            <w:r>
              <w:rPr>
                <w:b/>
                <w:color w:val="FFFFFF"/>
              </w:rPr>
              <w:t>Overall, does the existing regulatory framework</w:t>
            </w:r>
            <w:r>
              <w:rPr>
                <w:b/>
                <w:color w:val="FFFFFF"/>
                <w:spacing w:val="-11"/>
              </w:rPr>
              <w:t xml:space="preserve"> </w:t>
            </w:r>
            <w:r>
              <w:rPr>
                <w:b/>
                <w:color w:val="FFFFFF"/>
              </w:rPr>
              <w:t>support</w:t>
            </w:r>
            <w:r>
              <w:rPr>
                <w:b/>
                <w:color w:val="FFFFFF"/>
                <w:spacing w:val="-9"/>
              </w:rPr>
              <w:t xml:space="preserve"> </w:t>
            </w:r>
            <w:r>
              <w:rPr>
                <w:b/>
                <w:color w:val="FFFFFF"/>
              </w:rPr>
              <w:t>achievement</w:t>
            </w:r>
            <w:r>
              <w:rPr>
                <w:b/>
                <w:color w:val="FFFFFF"/>
                <w:spacing w:val="-12"/>
              </w:rPr>
              <w:t xml:space="preserve"> </w:t>
            </w:r>
            <w:r>
              <w:rPr>
                <w:b/>
                <w:color w:val="FFFFFF"/>
              </w:rPr>
              <w:t>of</w:t>
            </w:r>
            <w:r>
              <w:rPr>
                <w:b/>
                <w:color w:val="FFFFFF"/>
                <w:spacing w:val="-12"/>
              </w:rPr>
              <w:t xml:space="preserve"> </w:t>
            </w:r>
            <w:r>
              <w:rPr>
                <w:b/>
                <w:color w:val="FFFFFF"/>
              </w:rPr>
              <w:t>th</w:t>
            </w:r>
            <w:r w:rsidR="004E09CA">
              <w:rPr>
                <w:b/>
                <w:color w:val="FFFFFF"/>
              </w:rPr>
              <w:t>e identified</w:t>
            </w:r>
            <w:r>
              <w:rPr>
                <w:b/>
                <w:color w:val="FFFFFF"/>
              </w:rPr>
              <w:t xml:space="preserve"> </w:t>
            </w:r>
            <w:r>
              <w:rPr>
                <w:b/>
                <w:color w:val="FFFFFF"/>
                <w:spacing w:val="-2"/>
              </w:rPr>
              <w:t>outcome?</w:t>
            </w:r>
          </w:p>
        </w:tc>
        <w:tc>
          <w:tcPr>
            <w:tcW w:w="7470" w:type="dxa"/>
            <w:shd w:val="clear" w:color="auto" w:fill="3B7E32"/>
          </w:tcPr>
          <w:p w14:paraId="5B090A8A" w14:textId="0C3864D9" w:rsidR="00754FD1" w:rsidRDefault="00754FD1">
            <w:pPr>
              <w:pStyle w:val="BodyText"/>
              <w:spacing w:before="63"/>
            </w:pPr>
            <w:r>
              <w:rPr>
                <w:b/>
                <w:color w:val="FFFFFF"/>
                <w:spacing w:val="-2"/>
              </w:rPr>
              <w:t>Discussion</w:t>
            </w:r>
          </w:p>
        </w:tc>
      </w:tr>
      <w:tr w:rsidR="00615B91" w14:paraId="1A29D26F" w14:textId="77777777" w:rsidTr="004E09CA">
        <w:trPr>
          <w:trHeight w:val="905"/>
        </w:trPr>
        <w:tc>
          <w:tcPr>
            <w:tcW w:w="3960" w:type="dxa"/>
          </w:tcPr>
          <w:p w14:paraId="0D74C0AA" w14:textId="0427D572" w:rsidR="00615B91" w:rsidRPr="00754FD1" w:rsidRDefault="00754FD1">
            <w:pPr>
              <w:pStyle w:val="BodyText"/>
              <w:spacing w:before="63"/>
            </w:pPr>
            <w:r>
              <w:rPr>
                <w:b/>
                <w:bCs/>
              </w:rPr>
              <w:t xml:space="preserve">+ (YES) </w:t>
            </w:r>
            <w:r>
              <w:t>incents achievement</w:t>
            </w:r>
          </w:p>
        </w:tc>
        <w:tc>
          <w:tcPr>
            <w:tcW w:w="1530" w:type="dxa"/>
          </w:tcPr>
          <w:p w14:paraId="531004E9" w14:textId="77777777" w:rsidR="00615B91" w:rsidRDefault="00615B91">
            <w:pPr>
              <w:pStyle w:val="BodyText"/>
              <w:spacing w:before="63"/>
            </w:pPr>
          </w:p>
        </w:tc>
        <w:tc>
          <w:tcPr>
            <w:tcW w:w="7470" w:type="dxa"/>
          </w:tcPr>
          <w:p w14:paraId="28993F9A" w14:textId="77777777" w:rsidR="00615B91" w:rsidRDefault="00615B91">
            <w:pPr>
              <w:pStyle w:val="BodyText"/>
              <w:spacing w:before="63"/>
            </w:pPr>
          </w:p>
        </w:tc>
      </w:tr>
      <w:tr w:rsidR="00615B91" w14:paraId="36EB2410" w14:textId="77777777" w:rsidTr="004E09CA">
        <w:trPr>
          <w:trHeight w:val="797"/>
        </w:trPr>
        <w:tc>
          <w:tcPr>
            <w:tcW w:w="3960" w:type="dxa"/>
          </w:tcPr>
          <w:p w14:paraId="517ABDD8" w14:textId="16A5B4B2" w:rsidR="00615B91" w:rsidRPr="00754FD1" w:rsidRDefault="00754FD1">
            <w:pPr>
              <w:pStyle w:val="BodyText"/>
              <w:spacing w:before="63"/>
            </w:pPr>
            <w:r>
              <w:rPr>
                <w:b/>
                <w:bCs/>
              </w:rPr>
              <w:t>0 (NO IMPACT)</w:t>
            </w:r>
          </w:p>
        </w:tc>
        <w:tc>
          <w:tcPr>
            <w:tcW w:w="1530" w:type="dxa"/>
          </w:tcPr>
          <w:p w14:paraId="6CD1F948" w14:textId="77777777" w:rsidR="00615B91" w:rsidRDefault="00615B91">
            <w:pPr>
              <w:pStyle w:val="BodyText"/>
              <w:spacing w:before="63"/>
            </w:pPr>
          </w:p>
        </w:tc>
        <w:tc>
          <w:tcPr>
            <w:tcW w:w="7470" w:type="dxa"/>
          </w:tcPr>
          <w:p w14:paraId="4E553BFC" w14:textId="77777777" w:rsidR="00615B91" w:rsidRDefault="00615B91">
            <w:pPr>
              <w:pStyle w:val="BodyText"/>
              <w:spacing w:before="63"/>
            </w:pPr>
          </w:p>
        </w:tc>
      </w:tr>
      <w:tr w:rsidR="00615B91" w14:paraId="3CA1F8FF" w14:textId="77777777" w:rsidTr="004E09CA">
        <w:trPr>
          <w:trHeight w:val="905"/>
        </w:trPr>
        <w:tc>
          <w:tcPr>
            <w:tcW w:w="3960" w:type="dxa"/>
          </w:tcPr>
          <w:p w14:paraId="75D35AC4" w14:textId="0C06DB50" w:rsidR="00615B91" w:rsidRPr="00754FD1" w:rsidRDefault="00754FD1">
            <w:pPr>
              <w:pStyle w:val="BodyText"/>
              <w:spacing w:before="63"/>
            </w:pPr>
            <w:r>
              <w:rPr>
                <w:b/>
                <w:bCs/>
              </w:rPr>
              <w:t xml:space="preserve">- (NO) </w:t>
            </w:r>
            <w:r w:rsidRPr="00754FD1">
              <w:t>disincentivizes achievement</w:t>
            </w:r>
          </w:p>
        </w:tc>
        <w:tc>
          <w:tcPr>
            <w:tcW w:w="1530" w:type="dxa"/>
          </w:tcPr>
          <w:p w14:paraId="484E130E" w14:textId="77777777" w:rsidR="00615B91" w:rsidRDefault="00615B91">
            <w:pPr>
              <w:pStyle w:val="BodyText"/>
              <w:spacing w:before="63"/>
            </w:pPr>
          </w:p>
        </w:tc>
        <w:tc>
          <w:tcPr>
            <w:tcW w:w="7470" w:type="dxa"/>
          </w:tcPr>
          <w:p w14:paraId="763DD1AE" w14:textId="489C96F0" w:rsidR="00615B91" w:rsidRDefault="003C3816">
            <w:pPr>
              <w:pStyle w:val="BodyText"/>
              <w:spacing w:before="63"/>
            </w:pPr>
            <w:r>
              <w:t xml:space="preserve">Decarbonizing electricity is legal required under the VCEA, but this does not seem a sufficient motivation to </w:t>
            </w:r>
            <w:r w:rsidR="00D43240">
              <w:t xml:space="preserve">incent utilities to move toward this decarbonized future with a sense of urgency. Instead, the current structure permits </w:t>
            </w:r>
            <w:r w:rsidR="00916943">
              <w:t>halting progress, or even regress (i.e., energy efficiency underachievement)</w:t>
            </w:r>
            <w:r w:rsidR="00645602">
              <w:t>.</w:t>
            </w:r>
          </w:p>
        </w:tc>
      </w:tr>
    </w:tbl>
    <w:p w14:paraId="40DB61E6" w14:textId="77777777" w:rsidR="00615B91" w:rsidRDefault="00615B91">
      <w:pPr>
        <w:pStyle w:val="BodyText"/>
        <w:spacing w:before="63"/>
      </w:pPr>
    </w:p>
    <w:sectPr w:rsidR="00615B91">
      <w:pgSz w:w="15840" w:h="12240" w:orient="landscape"/>
      <w:pgMar w:top="13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0EBD2"/>
    <w:multiLevelType w:val="hybridMultilevel"/>
    <w:tmpl w:val="FFFFFFFF"/>
    <w:lvl w:ilvl="0" w:tplc="7280366A">
      <w:start w:val="1"/>
      <w:numFmt w:val="bullet"/>
      <w:lvlText w:val=""/>
      <w:lvlJc w:val="left"/>
      <w:pPr>
        <w:ind w:left="720" w:hanging="360"/>
      </w:pPr>
      <w:rPr>
        <w:rFonts w:ascii="Symbol" w:hAnsi="Symbol" w:hint="default"/>
      </w:rPr>
    </w:lvl>
    <w:lvl w:ilvl="1" w:tplc="C8F4C8D4">
      <w:start w:val="1"/>
      <w:numFmt w:val="bullet"/>
      <w:lvlText w:val="o"/>
      <w:lvlJc w:val="left"/>
      <w:pPr>
        <w:ind w:left="1440" w:hanging="360"/>
      </w:pPr>
      <w:rPr>
        <w:rFonts w:ascii="Courier New" w:hAnsi="Courier New" w:hint="default"/>
      </w:rPr>
    </w:lvl>
    <w:lvl w:ilvl="2" w:tplc="1BE43ED0">
      <w:start w:val="1"/>
      <w:numFmt w:val="bullet"/>
      <w:lvlText w:val=""/>
      <w:lvlJc w:val="left"/>
      <w:pPr>
        <w:ind w:left="2160" w:hanging="360"/>
      </w:pPr>
      <w:rPr>
        <w:rFonts w:ascii="Wingdings" w:hAnsi="Wingdings" w:hint="default"/>
      </w:rPr>
    </w:lvl>
    <w:lvl w:ilvl="3" w:tplc="0D5E17F0">
      <w:start w:val="1"/>
      <w:numFmt w:val="bullet"/>
      <w:lvlText w:val=""/>
      <w:lvlJc w:val="left"/>
      <w:pPr>
        <w:ind w:left="2880" w:hanging="360"/>
      </w:pPr>
      <w:rPr>
        <w:rFonts w:ascii="Symbol" w:hAnsi="Symbol" w:hint="default"/>
      </w:rPr>
    </w:lvl>
    <w:lvl w:ilvl="4" w:tplc="BB3A2D54">
      <w:start w:val="1"/>
      <w:numFmt w:val="bullet"/>
      <w:lvlText w:val="o"/>
      <w:lvlJc w:val="left"/>
      <w:pPr>
        <w:ind w:left="3600" w:hanging="360"/>
      </w:pPr>
      <w:rPr>
        <w:rFonts w:ascii="Courier New" w:hAnsi="Courier New" w:hint="default"/>
      </w:rPr>
    </w:lvl>
    <w:lvl w:ilvl="5" w:tplc="753A9798">
      <w:start w:val="1"/>
      <w:numFmt w:val="bullet"/>
      <w:lvlText w:val=""/>
      <w:lvlJc w:val="left"/>
      <w:pPr>
        <w:ind w:left="4320" w:hanging="360"/>
      </w:pPr>
      <w:rPr>
        <w:rFonts w:ascii="Wingdings" w:hAnsi="Wingdings" w:hint="default"/>
      </w:rPr>
    </w:lvl>
    <w:lvl w:ilvl="6" w:tplc="3A6C934A">
      <w:start w:val="1"/>
      <w:numFmt w:val="bullet"/>
      <w:lvlText w:val=""/>
      <w:lvlJc w:val="left"/>
      <w:pPr>
        <w:ind w:left="5040" w:hanging="360"/>
      </w:pPr>
      <w:rPr>
        <w:rFonts w:ascii="Symbol" w:hAnsi="Symbol" w:hint="default"/>
      </w:rPr>
    </w:lvl>
    <w:lvl w:ilvl="7" w:tplc="0372994A">
      <w:start w:val="1"/>
      <w:numFmt w:val="bullet"/>
      <w:lvlText w:val="o"/>
      <w:lvlJc w:val="left"/>
      <w:pPr>
        <w:ind w:left="5760" w:hanging="360"/>
      </w:pPr>
      <w:rPr>
        <w:rFonts w:ascii="Courier New" w:hAnsi="Courier New" w:hint="default"/>
      </w:rPr>
    </w:lvl>
    <w:lvl w:ilvl="8" w:tplc="4DF297EA">
      <w:start w:val="1"/>
      <w:numFmt w:val="bullet"/>
      <w:lvlText w:val=""/>
      <w:lvlJc w:val="left"/>
      <w:pPr>
        <w:ind w:left="6480" w:hanging="360"/>
      </w:pPr>
      <w:rPr>
        <w:rFonts w:ascii="Wingdings" w:hAnsi="Wingdings" w:hint="default"/>
      </w:rPr>
    </w:lvl>
  </w:abstractNum>
  <w:abstractNum w:abstractNumId="1" w15:restartNumberingAfterBreak="0">
    <w:nsid w:val="757F617A"/>
    <w:multiLevelType w:val="hybridMultilevel"/>
    <w:tmpl w:val="BE1248F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4051922">
    <w:abstractNumId w:val="0"/>
  </w:num>
  <w:num w:numId="2" w16cid:durableId="104347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1124"/>
    <w:rsid w:val="00003EBB"/>
    <w:rsid w:val="00011C8A"/>
    <w:rsid w:val="00016630"/>
    <w:rsid w:val="00020898"/>
    <w:rsid w:val="00030B40"/>
    <w:rsid w:val="00036883"/>
    <w:rsid w:val="000460F7"/>
    <w:rsid w:val="000529E8"/>
    <w:rsid w:val="00073979"/>
    <w:rsid w:val="00083862"/>
    <w:rsid w:val="000868B8"/>
    <w:rsid w:val="00087892"/>
    <w:rsid w:val="00093FE1"/>
    <w:rsid w:val="00094281"/>
    <w:rsid w:val="000A3FBB"/>
    <w:rsid w:val="000A4C61"/>
    <w:rsid w:val="000B6FEE"/>
    <w:rsid w:val="000B74D7"/>
    <w:rsid w:val="000C1A37"/>
    <w:rsid w:val="000C540E"/>
    <w:rsid w:val="000D5D3E"/>
    <w:rsid w:val="000D6A65"/>
    <w:rsid w:val="000E6C6C"/>
    <w:rsid w:val="00102191"/>
    <w:rsid w:val="00114962"/>
    <w:rsid w:val="00125788"/>
    <w:rsid w:val="001347A7"/>
    <w:rsid w:val="00151704"/>
    <w:rsid w:val="00164208"/>
    <w:rsid w:val="00170B8D"/>
    <w:rsid w:val="00171D14"/>
    <w:rsid w:val="00184101"/>
    <w:rsid w:val="00194EE5"/>
    <w:rsid w:val="00197DC5"/>
    <w:rsid w:val="001A2966"/>
    <w:rsid w:val="001C6012"/>
    <w:rsid w:val="001D3874"/>
    <w:rsid w:val="001D3F19"/>
    <w:rsid w:val="001D7C93"/>
    <w:rsid w:val="001E6F6A"/>
    <w:rsid w:val="00202A48"/>
    <w:rsid w:val="00204982"/>
    <w:rsid w:val="00211513"/>
    <w:rsid w:val="00226F0D"/>
    <w:rsid w:val="00227669"/>
    <w:rsid w:val="002315BB"/>
    <w:rsid w:val="00231CD8"/>
    <w:rsid w:val="002328B9"/>
    <w:rsid w:val="002330C2"/>
    <w:rsid w:val="00244057"/>
    <w:rsid w:val="00244168"/>
    <w:rsid w:val="0025287E"/>
    <w:rsid w:val="00275129"/>
    <w:rsid w:val="002772F7"/>
    <w:rsid w:val="00283EA4"/>
    <w:rsid w:val="0028509B"/>
    <w:rsid w:val="00290272"/>
    <w:rsid w:val="002A4C87"/>
    <w:rsid w:val="002A6D34"/>
    <w:rsid w:val="002B2930"/>
    <w:rsid w:val="002B35EE"/>
    <w:rsid w:val="002B7D47"/>
    <w:rsid w:val="002C5955"/>
    <w:rsid w:val="002D0F76"/>
    <w:rsid w:val="002D6FA4"/>
    <w:rsid w:val="002D741E"/>
    <w:rsid w:val="002E4B1D"/>
    <w:rsid w:val="002F5B9A"/>
    <w:rsid w:val="00301124"/>
    <w:rsid w:val="0030455B"/>
    <w:rsid w:val="00323AE6"/>
    <w:rsid w:val="0034215D"/>
    <w:rsid w:val="0034652C"/>
    <w:rsid w:val="00355536"/>
    <w:rsid w:val="00376BB9"/>
    <w:rsid w:val="003779D7"/>
    <w:rsid w:val="003841E6"/>
    <w:rsid w:val="003867A7"/>
    <w:rsid w:val="0039133C"/>
    <w:rsid w:val="00392687"/>
    <w:rsid w:val="00392ADD"/>
    <w:rsid w:val="003A28E5"/>
    <w:rsid w:val="003B2653"/>
    <w:rsid w:val="003B7C60"/>
    <w:rsid w:val="003C0EDB"/>
    <w:rsid w:val="003C30FC"/>
    <w:rsid w:val="003C3816"/>
    <w:rsid w:val="003D5C0B"/>
    <w:rsid w:val="003E2469"/>
    <w:rsid w:val="003F31D5"/>
    <w:rsid w:val="003F4240"/>
    <w:rsid w:val="0040057C"/>
    <w:rsid w:val="00407EE7"/>
    <w:rsid w:val="004137AD"/>
    <w:rsid w:val="00413A72"/>
    <w:rsid w:val="00415EC3"/>
    <w:rsid w:val="00436984"/>
    <w:rsid w:val="00465EDD"/>
    <w:rsid w:val="0047002F"/>
    <w:rsid w:val="0048019E"/>
    <w:rsid w:val="0048136F"/>
    <w:rsid w:val="00496FF4"/>
    <w:rsid w:val="004A2957"/>
    <w:rsid w:val="004A71BC"/>
    <w:rsid w:val="004B76A9"/>
    <w:rsid w:val="004C7A24"/>
    <w:rsid w:val="004D0EB8"/>
    <w:rsid w:val="004D3195"/>
    <w:rsid w:val="004E09CA"/>
    <w:rsid w:val="004E5073"/>
    <w:rsid w:val="005176C8"/>
    <w:rsid w:val="005258EF"/>
    <w:rsid w:val="005266A6"/>
    <w:rsid w:val="00535810"/>
    <w:rsid w:val="005448D6"/>
    <w:rsid w:val="00545EFF"/>
    <w:rsid w:val="005475E0"/>
    <w:rsid w:val="00547D7E"/>
    <w:rsid w:val="00556B79"/>
    <w:rsid w:val="00573C42"/>
    <w:rsid w:val="00576840"/>
    <w:rsid w:val="005947D3"/>
    <w:rsid w:val="005A22A8"/>
    <w:rsid w:val="005A361A"/>
    <w:rsid w:val="005A69A8"/>
    <w:rsid w:val="005B30CB"/>
    <w:rsid w:val="005C7B09"/>
    <w:rsid w:val="005D0F2A"/>
    <w:rsid w:val="005F257D"/>
    <w:rsid w:val="005F57B6"/>
    <w:rsid w:val="00614208"/>
    <w:rsid w:val="00615B91"/>
    <w:rsid w:val="006253AE"/>
    <w:rsid w:val="0063094C"/>
    <w:rsid w:val="00645602"/>
    <w:rsid w:val="00655C09"/>
    <w:rsid w:val="00656C5D"/>
    <w:rsid w:val="00673ED9"/>
    <w:rsid w:val="00680819"/>
    <w:rsid w:val="006816E1"/>
    <w:rsid w:val="006819D3"/>
    <w:rsid w:val="00690C71"/>
    <w:rsid w:val="00691EC5"/>
    <w:rsid w:val="0069659F"/>
    <w:rsid w:val="006A199A"/>
    <w:rsid w:val="006A3122"/>
    <w:rsid w:val="006B38B8"/>
    <w:rsid w:val="006C31CA"/>
    <w:rsid w:val="006D132E"/>
    <w:rsid w:val="006D7164"/>
    <w:rsid w:val="006E59E1"/>
    <w:rsid w:val="006F1360"/>
    <w:rsid w:val="00710EAA"/>
    <w:rsid w:val="00713D55"/>
    <w:rsid w:val="00714310"/>
    <w:rsid w:val="007303B8"/>
    <w:rsid w:val="00750864"/>
    <w:rsid w:val="00754FD1"/>
    <w:rsid w:val="007629A1"/>
    <w:rsid w:val="00770BDF"/>
    <w:rsid w:val="00773E92"/>
    <w:rsid w:val="007800C5"/>
    <w:rsid w:val="007808A6"/>
    <w:rsid w:val="007870E2"/>
    <w:rsid w:val="007937B0"/>
    <w:rsid w:val="00793FE9"/>
    <w:rsid w:val="0079634D"/>
    <w:rsid w:val="007C7E1D"/>
    <w:rsid w:val="007D75B2"/>
    <w:rsid w:val="007E4DBD"/>
    <w:rsid w:val="007E547C"/>
    <w:rsid w:val="007F02AE"/>
    <w:rsid w:val="007F614C"/>
    <w:rsid w:val="00814768"/>
    <w:rsid w:val="008210CD"/>
    <w:rsid w:val="00827F77"/>
    <w:rsid w:val="00832CCF"/>
    <w:rsid w:val="00840ECC"/>
    <w:rsid w:val="00842662"/>
    <w:rsid w:val="00847D1B"/>
    <w:rsid w:val="00851168"/>
    <w:rsid w:val="0085193E"/>
    <w:rsid w:val="008840F0"/>
    <w:rsid w:val="008A7B5E"/>
    <w:rsid w:val="008B5900"/>
    <w:rsid w:val="008C5672"/>
    <w:rsid w:val="008D1F0D"/>
    <w:rsid w:val="008D5F1D"/>
    <w:rsid w:val="008E0CB5"/>
    <w:rsid w:val="00916943"/>
    <w:rsid w:val="009410E2"/>
    <w:rsid w:val="00941AB6"/>
    <w:rsid w:val="00942E79"/>
    <w:rsid w:val="00942FDB"/>
    <w:rsid w:val="0095446F"/>
    <w:rsid w:val="00954805"/>
    <w:rsid w:val="00954D7F"/>
    <w:rsid w:val="00955939"/>
    <w:rsid w:val="00966A7B"/>
    <w:rsid w:val="009713D1"/>
    <w:rsid w:val="00975722"/>
    <w:rsid w:val="00985A5C"/>
    <w:rsid w:val="0099153C"/>
    <w:rsid w:val="009A063C"/>
    <w:rsid w:val="009A4357"/>
    <w:rsid w:val="009A4618"/>
    <w:rsid w:val="009A7CD7"/>
    <w:rsid w:val="009B706B"/>
    <w:rsid w:val="009B707A"/>
    <w:rsid w:val="009D0627"/>
    <w:rsid w:val="00A27048"/>
    <w:rsid w:val="00A35606"/>
    <w:rsid w:val="00A568B8"/>
    <w:rsid w:val="00A62065"/>
    <w:rsid w:val="00A624B1"/>
    <w:rsid w:val="00A6394E"/>
    <w:rsid w:val="00A64864"/>
    <w:rsid w:val="00A650BC"/>
    <w:rsid w:val="00A65347"/>
    <w:rsid w:val="00A71544"/>
    <w:rsid w:val="00A74913"/>
    <w:rsid w:val="00AB56BB"/>
    <w:rsid w:val="00AC6ED0"/>
    <w:rsid w:val="00AD1331"/>
    <w:rsid w:val="00AD3504"/>
    <w:rsid w:val="00AE4A97"/>
    <w:rsid w:val="00AF2055"/>
    <w:rsid w:val="00AF5014"/>
    <w:rsid w:val="00B1524D"/>
    <w:rsid w:val="00B1550F"/>
    <w:rsid w:val="00B24E1C"/>
    <w:rsid w:val="00B300CE"/>
    <w:rsid w:val="00B3061E"/>
    <w:rsid w:val="00B40A51"/>
    <w:rsid w:val="00B4689C"/>
    <w:rsid w:val="00B50F2D"/>
    <w:rsid w:val="00B53424"/>
    <w:rsid w:val="00B559F4"/>
    <w:rsid w:val="00B72D93"/>
    <w:rsid w:val="00B97E39"/>
    <w:rsid w:val="00BA734C"/>
    <w:rsid w:val="00BC74F0"/>
    <w:rsid w:val="00BD3E53"/>
    <w:rsid w:val="00BE2FD2"/>
    <w:rsid w:val="00BF11FB"/>
    <w:rsid w:val="00BF1962"/>
    <w:rsid w:val="00BF32CE"/>
    <w:rsid w:val="00BF649A"/>
    <w:rsid w:val="00BF7E21"/>
    <w:rsid w:val="00C003F6"/>
    <w:rsid w:val="00C11C86"/>
    <w:rsid w:val="00C20EA2"/>
    <w:rsid w:val="00C31C6D"/>
    <w:rsid w:val="00C3651A"/>
    <w:rsid w:val="00C51E2D"/>
    <w:rsid w:val="00C52B7B"/>
    <w:rsid w:val="00C55D51"/>
    <w:rsid w:val="00C72C21"/>
    <w:rsid w:val="00C774D7"/>
    <w:rsid w:val="00CA4314"/>
    <w:rsid w:val="00CA6378"/>
    <w:rsid w:val="00CA749C"/>
    <w:rsid w:val="00CE1F45"/>
    <w:rsid w:val="00CF0037"/>
    <w:rsid w:val="00CF49F6"/>
    <w:rsid w:val="00CF6861"/>
    <w:rsid w:val="00CF7C64"/>
    <w:rsid w:val="00D0267F"/>
    <w:rsid w:val="00D02A65"/>
    <w:rsid w:val="00D04455"/>
    <w:rsid w:val="00D13523"/>
    <w:rsid w:val="00D2263F"/>
    <w:rsid w:val="00D23E02"/>
    <w:rsid w:val="00D36C8D"/>
    <w:rsid w:val="00D36DA2"/>
    <w:rsid w:val="00D4274C"/>
    <w:rsid w:val="00D43240"/>
    <w:rsid w:val="00D50CDE"/>
    <w:rsid w:val="00D51678"/>
    <w:rsid w:val="00D5713E"/>
    <w:rsid w:val="00D64719"/>
    <w:rsid w:val="00D66F07"/>
    <w:rsid w:val="00D674FC"/>
    <w:rsid w:val="00D81BB7"/>
    <w:rsid w:val="00D913E2"/>
    <w:rsid w:val="00D93C51"/>
    <w:rsid w:val="00D9444C"/>
    <w:rsid w:val="00DA1F07"/>
    <w:rsid w:val="00DB0C1F"/>
    <w:rsid w:val="00DB413E"/>
    <w:rsid w:val="00DB5A8F"/>
    <w:rsid w:val="00DC0530"/>
    <w:rsid w:val="00DC4B01"/>
    <w:rsid w:val="00DD2453"/>
    <w:rsid w:val="00DD602C"/>
    <w:rsid w:val="00DD75BC"/>
    <w:rsid w:val="00E01C35"/>
    <w:rsid w:val="00E05315"/>
    <w:rsid w:val="00E14B74"/>
    <w:rsid w:val="00E23189"/>
    <w:rsid w:val="00E40CEE"/>
    <w:rsid w:val="00E62307"/>
    <w:rsid w:val="00E67992"/>
    <w:rsid w:val="00E70063"/>
    <w:rsid w:val="00E7268D"/>
    <w:rsid w:val="00E81365"/>
    <w:rsid w:val="00E839EE"/>
    <w:rsid w:val="00E847AA"/>
    <w:rsid w:val="00E91E5D"/>
    <w:rsid w:val="00E92EBF"/>
    <w:rsid w:val="00E932D1"/>
    <w:rsid w:val="00E9384B"/>
    <w:rsid w:val="00E97484"/>
    <w:rsid w:val="00EA3267"/>
    <w:rsid w:val="00EC013F"/>
    <w:rsid w:val="00ED22F6"/>
    <w:rsid w:val="00EF1FDC"/>
    <w:rsid w:val="00F01CB2"/>
    <w:rsid w:val="00F10FF9"/>
    <w:rsid w:val="00F1404D"/>
    <w:rsid w:val="00F2045A"/>
    <w:rsid w:val="00F2539F"/>
    <w:rsid w:val="00F2783E"/>
    <w:rsid w:val="00F318DE"/>
    <w:rsid w:val="00F332B0"/>
    <w:rsid w:val="00F453EC"/>
    <w:rsid w:val="00F47D1D"/>
    <w:rsid w:val="00F525EA"/>
    <w:rsid w:val="00F53696"/>
    <w:rsid w:val="00F913C0"/>
    <w:rsid w:val="00F97CC8"/>
    <w:rsid w:val="00FA4AFA"/>
    <w:rsid w:val="00FA7CD6"/>
    <w:rsid w:val="00FB0368"/>
    <w:rsid w:val="00FB140A"/>
    <w:rsid w:val="00FB44E3"/>
    <w:rsid w:val="00FB5587"/>
    <w:rsid w:val="00FB73BF"/>
    <w:rsid w:val="00FC05CF"/>
    <w:rsid w:val="00FC2FA7"/>
    <w:rsid w:val="00FE4ACF"/>
    <w:rsid w:val="073D5F75"/>
    <w:rsid w:val="084AAFEC"/>
    <w:rsid w:val="08904CD6"/>
    <w:rsid w:val="0A31FEA7"/>
    <w:rsid w:val="0BEAFCD8"/>
    <w:rsid w:val="0C197084"/>
    <w:rsid w:val="0D00CDDA"/>
    <w:rsid w:val="14A547E4"/>
    <w:rsid w:val="1803DEB4"/>
    <w:rsid w:val="192599FB"/>
    <w:rsid w:val="1CB9E2F2"/>
    <w:rsid w:val="1DCBB61C"/>
    <w:rsid w:val="201F86D7"/>
    <w:rsid w:val="20CD0F60"/>
    <w:rsid w:val="217439C7"/>
    <w:rsid w:val="2381021A"/>
    <w:rsid w:val="247287EE"/>
    <w:rsid w:val="2539CAE0"/>
    <w:rsid w:val="254838E8"/>
    <w:rsid w:val="271E247B"/>
    <w:rsid w:val="2CB77AC5"/>
    <w:rsid w:val="319FD852"/>
    <w:rsid w:val="33E01CD8"/>
    <w:rsid w:val="39B9EEA7"/>
    <w:rsid w:val="39F41800"/>
    <w:rsid w:val="4217AD05"/>
    <w:rsid w:val="4241A186"/>
    <w:rsid w:val="42F289E3"/>
    <w:rsid w:val="4506C501"/>
    <w:rsid w:val="451A20C5"/>
    <w:rsid w:val="45A2C5D6"/>
    <w:rsid w:val="48A5B1A0"/>
    <w:rsid w:val="4CDA8904"/>
    <w:rsid w:val="4E5B0746"/>
    <w:rsid w:val="52AAE053"/>
    <w:rsid w:val="530A8DFD"/>
    <w:rsid w:val="5719E3FE"/>
    <w:rsid w:val="5C774A0D"/>
    <w:rsid w:val="5E3023BE"/>
    <w:rsid w:val="5E927346"/>
    <w:rsid w:val="5E9F01CC"/>
    <w:rsid w:val="62FDFC2A"/>
    <w:rsid w:val="6489E149"/>
    <w:rsid w:val="65FAD6D3"/>
    <w:rsid w:val="697D1200"/>
    <w:rsid w:val="69F3DBAA"/>
    <w:rsid w:val="6D6630CD"/>
    <w:rsid w:val="6EC1A415"/>
    <w:rsid w:val="705AF046"/>
    <w:rsid w:val="7270BED8"/>
    <w:rsid w:val="774F4F88"/>
    <w:rsid w:val="78FCE513"/>
    <w:rsid w:val="7B88B69A"/>
    <w:rsid w:val="7BF98427"/>
    <w:rsid w:val="7C9634C4"/>
    <w:rsid w:val="7E26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71552"/>
  <w15:docId w15:val="{8AF65424-FEE3-441D-A851-8C1AAF6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13"/>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15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257D"/>
    <w:rPr>
      <w:sz w:val="16"/>
      <w:szCs w:val="16"/>
    </w:rPr>
  </w:style>
  <w:style w:type="paragraph" w:styleId="CommentText">
    <w:name w:val="annotation text"/>
    <w:basedOn w:val="Normal"/>
    <w:link w:val="CommentTextChar"/>
    <w:uiPriority w:val="99"/>
    <w:unhideWhenUsed/>
    <w:rsid w:val="005F257D"/>
    <w:rPr>
      <w:sz w:val="20"/>
      <w:szCs w:val="20"/>
    </w:rPr>
  </w:style>
  <w:style w:type="character" w:customStyle="1" w:styleId="CommentTextChar">
    <w:name w:val="Comment Text Char"/>
    <w:basedOn w:val="DefaultParagraphFont"/>
    <w:link w:val="CommentText"/>
    <w:uiPriority w:val="99"/>
    <w:rsid w:val="005F25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257D"/>
    <w:rPr>
      <w:b/>
      <w:bCs/>
    </w:rPr>
  </w:style>
  <w:style w:type="character" w:customStyle="1" w:styleId="CommentSubjectChar">
    <w:name w:val="Comment Subject Char"/>
    <w:basedOn w:val="CommentTextChar"/>
    <w:link w:val="CommentSubject"/>
    <w:uiPriority w:val="99"/>
    <w:semiHidden/>
    <w:rsid w:val="005F257D"/>
    <w:rPr>
      <w:rFonts w:ascii="Arial" w:eastAsia="Arial" w:hAnsi="Arial" w:cs="Arial"/>
      <w:b/>
      <w:bCs/>
      <w:sz w:val="20"/>
      <w:szCs w:val="20"/>
    </w:rPr>
  </w:style>
  <w:style w:type="paragraph" w:styleId="Revision">
    <w:name w:val="Revision"/>
    <w:hidden/>
    <w:uiPriority w:val="99"/>
    <w:semiHidden/>
    <w:rsid w:val="00DB0C1F"/>
    <w:pPr>
      <w:widowControl/>
      <w:autoSpaceDE/>
      <w:autoSpaceDN/>
    </w:pPr>
    <w:rPr>
      <w:rFonts w:ascii="Arial" w:eastAsia="Arial" w:hAnsi="Arial" w:cs="Arial"/>
    </w:rPr>
  </w:style>
  <w:style w:type="paragraph" w:styleId="NormalWeb">
    <w:name w:val="Normal (Web)"/>
    <w:basedOn w:val="Normal"/>
    <w:uiPriority w:val="99"/>
    <w:semiHidden/>
    <w:unhideWhenUsed/>
    <w:rsid w:val="003D5C0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F40A6A3C91D64EA9F4F92C6DA6B971" ma:contentTypeVersion="4" ma:contentTypeDescription="Create a new document." ma:contentTypeScope="" ma:versionID="6d7710899bc07e6af72ead92d750b609">
  <xsd:schema xmlns:xsd="http://www.w3.org/2001/XMLSchema" xmlns:xs="http://www.w3.org/2001/XMLSchema" xmlns:p="http://schemas.microsoft.com/office/2006/metadata/properties" xmlns:ns2="1fdcf295-ac92-492a-b8f7-a2b55f1d2194" targetNamespace="http://schemas.microsoft.com/office/2006/metadata/properties" ma:root="true" ma:fieldsID="6f6da7719e11de1e720cc0a551b452bd" ns2:_="">
    <xsd:import namespace="1fdcf295-ac92-492a-b8f7-a2b55f1d2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cf295-ac92-492a-b8f7-a2b55f1d2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C09EDF-8D1D-416F-83F8-9BC045CE0200}">
  <ds:schemaRefs>
    <ds:schemaRef ds:uri="http://schemas.openxmlformats.org/officeDocument/2006/bibliography"/>
  </ds:schemaRefs>
</ds:datastoreItem>
</file>

<file path=customXml/itemProps2.xml><?xml version="1.0" encoding="utf-8"?>
<ds:datastoreItem xmlns:ds="http://schemas.openxmlformats.org/officeDocument/2006/customXml" ds:itemID="{63741B1D-FE9A-4DE5-922D-DC6E48C1BC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21DC68-9E2A-4372-987A-1EE9DC664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cf295-ac92-492a-b8f7-a2b55f1d2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2B1A1-9203-416A-92C3-14A61C724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21-05-15 Appendix A (Staff Concept Paper 2)</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21-05-15 Appendix A (Staff Concept Paper 2)</dc:title>
  <dc:subject/>
  <dc:creator>Jennifer Gorman</dc:creator>
  <cp:keywords/>
  <cp:lastModifiedBy>Rachel James</cp:lastModifiedBy>
  <cp:revision>2</cp:revision>
  <dcterms:created xsi:type="dcterms:W3CDTF">2025-03-25T17:38:00Z</dcterms:created>
  <dcterms:modified xsi:type="dcterms:W3CDTF">2025-03-25T17:38:00Z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vt:lpwstr>
  </property>
  <property fmtid="{D5CDD505-2E9C-101B-9397-08002B2CF9AE}" pid="4" name="LastSaved">
    <vt:filetime>2025-02-18T00:00:00Z</vt:filetime>
  </property>
  <property fmtid="{D5CDD505-2E9C-101B-9397-08002B2CF9AE}" pid="5" name="ContentTypeId">
    <vt:lpwstr>0x0101008FF40A6A3C91D64EA9F4F92C6DA6B971</vt:lpwstr>
  </property>
</Properties>
</file>